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AA687B8" w14:textId="22D75649" w:rsidR="00D64474" w:rsidRPr="008571D6" w:rsidRDefault="00710529" w:rsidP="00D64474">
      <w:pPr>
        <w:pStyle w:val="Heading1"/>
        <w:tabs>
          <w:tab w:val="left" w:pos="720"/>
          <w:tab w:val="left" w:pos="1440"/>
          <w:tab w:val="left" w:pos="2160"/>
          <w:tab w:val="left" w:pos="2880"/>
          <w:tab w:val="left" w:pos="3600"/>
          <w:tab w:val="right" w:pos="10348"/>
        </w:tabs>
        <w:rPr>
          <w:b w:val="0"/>
          <w:szCs w:val="42"/>
        </w:rPr>
      </w:pPr>
      <w:r w:rsidRPr="008571D6">
        <w:rPr>
          <w:b w:val="0"/>
          <w:noProof/>
          <w:szCs w:val="42"/>
          <w:lang w:eastAsia="en-AU"/>
        </w:rPr>
        <w:drawing>
          <wp:anchor distT="0" distB="0" distL="114300" distR="114300" simplePos="0" relativeHeight="251659264" behindDoc="0" locked="0" layoutInCell="1" allowOverlap="1" wp14:anchorId="780DB99E" wp14:editId="7DE0123E">
            <wp:simplePos x="0" y="0"/>
            <wp:positionH relativeFrom="column">
              <wp:posOffset>4597400</wp:posOffset>
            </wp:positionH>
            <wp:positionV relativeFrom="paragraph">
              <wp:posOffset>-38735</wp:posOffset>
            </wp:positionV>
            <wp:extent cx="2115185" cy="645795"/>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PE Logo.png"/>
                    <pic:cNvPicPr/>
                  </pic:nvPicPr>
                  <pic:blipFill>
                    <a:blip r:embed="rId11">
                      <a:extLst>
                        <a:ext uri="{28A0092B-C50C-407E-A947-70E740481C1C}">
                          <a14:useLocalDpi xmlns:a14="http://schemas.microsoft.com/office/drawing/2010/main" val="0"/>
                        </a:ext>
                      </a:extLst>
                    </a:blip>
                    <a:stretch>
                      <a:fillRect/>
                    </a:stretch>
                  </pic:blipFill>
                  <pic:spPr>
                    <a:xfrm>
                      <a:off x="0" y="0"/>
                      <a:ext cx="2115185" cy="645795"/>
                    </a:xfrm>
                    <a:prstGeom prst="rect">
                      <a:avLst/>
                    </a:prstGeom>
                  </pic:spPr>
                </pic:pic>
              </a:graphicData>
            </a:graphic>
          </wp:anchor>
        </w:drawing>
      </w:r>
      <w:r w:rsidR="00D64474" w:rsidRPr="008571D6">
        <w:rPr>
          <w:b w:val="0"/>
          <w:szCs w:val="42"/>
        </w:rPr>
        <w:t>Role Description</w:t>
      </w:r>
    </w:p>
    <w:p w14:paraId="1AD28259" w14:textId="3EBB0601" w:rsidR="008571D6" w:rsidRPr="008571D6" w:rsidRDefault="008B61FB" w:rsidP="00076EAB">
      <w:pPr>
        <w:rPr>
          <w:b/>
          <w:sz w:val="42"/>
          <w:szCs w:val="42"/>
        </w:rPr>
      </w:pPr>
      <w:r w:rsidRPr="008571D6">
        <w:rPr>
          <w:b/>
          <w:sz w:val="42"/>
          <w:szCs w:val="42"/>
        </w:rPr>
        <w:t>Chief Financial Officer</w:t>
      </w:r>
      <w:r w:rsidR="00E0611D" w:rsidRPr="008571D6">
        <w:rPr>
          <w:b/>
          <w:sz w:val="42"/>
          <w:szCs w:val="42"/>
        </w:rPr>
        <w:t xml:space="preserve">, </w:t>
      </w:r>
    </w:p>
    <w:p w14:paraId="417CD869" w14:textId="488410A6" w:rsidR="00076EAB" w:rsidRPr="008571D6" w:rsidRDefault="0083736A" w:rsidP="00076EAB">
      <w:pPr>
        <w:rPr>
          <w:b/>
          <w:sz w:val="42"/>
          <w:szCs w:val="42"/>
        </w:rPr>
      </w:pPr>
      <w:r>
        <w:rPr>
          <w:b/>
          <w:sz w:val="42"/>
          <w:szCs w:val="42"/>
        </w:rPr>
        <w:t xml:space="preserve">Property </w:t>
      </w:r>
      <w:r w:rsidR="00FD0369">
        <w:rPr>
          <w:b/>
          <w:sz w:val="42"/>
          <w:szCs w:val="42"/>
        </w:rPr>
        <w:t>NSW</w:t>
      </w:r>
    </w:p>
    <w:p w14:paraId="04FA7547" w14:textId="77777777" w:rsidR="006F0A6F" w:rsidRPr="007061A2" w:rsidRDefault="006F0A6F" w:rsidP="00076EAB">
      <w:pPr>
        <w:rPr>
          <w:sz w:val="28"/>
          <w:szCs w:val="28"/>
        </w:rPr>
      </w:pPr>
    </w:p>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DA6BE6" w:rsidRPr="00C978B9" w14:paraId="6627F354" w14:textId="77777777" w:rsidTr="61233093">
        <w:trPr>
          <w:cnfStyle w:val="100000000000" w:firstRow="1" w:lastRow="0" w:firstColumn="0" w:lastColumn="0" w:oddVBand="0" w:evenVBand="0" w:oddHBand="0" w:evenHBand="0" w:firstRowFirstColumn="0" w:firstRowLastColumn="0" w:lastRowFirstColumn="0" w:lastRowLastColumn="0"/>
          <w:cantSplit/>
        </w:trPr>
        <w:tc>
          <w:tcPr>
            <w:tcW w:w="4026" w:type="dxa"/>
            <w:vAlign w:val="center"/>
          </w:tcPr>
          <w:p w14:paraId="00888D4A" w14:textId="77777777" w:rsidR="00DA6BE6" w:rsidRPr="00853F21" w:rsidRDefault="00DA6BE6" w:rsidP="003F4D33">
            <w:pPr>
              <w:pStyle w:val="TableTextWhite"/>
              <w:rPr>
                <w:b/>
              </w:rPr>
            </w:pPr>
            <w:r w:rsidRPr="00853F21">
              <w:rPr>
                <w:b/>
              </w:rPr>
              <w:t>Cluster</w:t>
            </w:r>
          </w:p>
        </w:tc>
        <w:tc>
          <w:tcPr>
            <w:tcW w:w="6530" w:type="dxa"/>
          </w:tcPr>
          <w:p w14:paraId="11A0F01B" w14:textId="7C4D2083" w:rsidR="00DA6BE6" w:rsidRPr="00853F21" w:rsidRDefault="004A3696" w:rsidP="003F4D33">
            <w:pPr>
              <w:pStyle w:val="TableTextWhite"/>
              <w:rPr>
                <w:b/>
              </w:rPr>
            </w:pPr>
            <w:r>
              <w:rPr>
                <w:b/>
              </w:rPr>
              <w:t>Planning and Environment</w:t>
            </w:r>
          </w:p>
        </w:tc>
      </w:tr>
      <w:tr w:rsidR="00B0369C" w:rsidRPr="00C978B9" w14:paraId="7E60E941" w14:textId="77777777" w:rsidTr="61233093">
        <w:trPr>
          <w:cantSplit/>
        </w:trPr>
        <w:tc>
          <w:tcPr>
            <w:tcW w:w="4026" w:type="dxa"/>
            <w:vAlign w:val="center"/>
          </w:tcPr>
          <w:p w14:paraId="25AED9B6" w14:textId="77777777" w:rsidR="00B0369C" w:rsidRPr="00853F21" w:rsidRDefault="00B0369C" w:rsidP="00B0369C">
            <w:pPr>
              <w:pStyle w:val="TableTextWhite"/>
              <w:rPr>
                <w:b/>
              </w:rPr>
            </w:pPr>
            <w:bookmarkStart w:id="0" w:name="DeptAgency"/>
            <w:bookmarkEnd w:id="0"/>
            <w:r w:rsidRPr="00853F21">
              <w:rPr>
                <w:b/>
              </w:rPr>
              <w:t>Department/Agency</w:t>
            </w:r>
          </w:p>
        </w:tc>
        <w:tc>
          <w:tcPr>
            <w:tcW w:w="6530" w:type="dxa"/>
          </w:tcPr>
          <w:p w14:paraId="3FE2E466" w14:textId="11F53311" w:rsidR="00B0369C" w:rsidRPr="00853F21" w:rsidRDefault="00B0369C" w:rsidP="00B0369C">
            <w:pPr>
              <w:pStyle w:val="TableTextWhite"/>
              <w:rPr>
                <w:rFonts w:eastAsia="Arial"/>
                <w:b/>
                <w:bCs/>
                <w:color w:val="FFFFFF" w:themeColor="background1"/>
              </w:rPr>
            </w:pPr>
            <w:r>
              <w:rPr>
                <w:b/>
              </w:rPr>
              <w:t>Planning and Environment</w:t>
            </w:r>
          </w:p>
        </w:tc>
      </w:tr>
      <w:tr w:rsidR="00B0369C" w:rsidRPr="00C978B9" w14:paraId="7172F12B" w14:textId="77777777" w:rsidTr="61233093">
        <w:trPr>
          <w:cantSplit/>
        </w:trPr>
        <w:tc>
          <w:tcPr>
            <w:tcW w:w="4026" w:type="dxa"/>
            <w:vAlign w:val="center"/>
          </w:tcPr>
          <w:p w14:paraId="66E15866" w14:textId="63E49BEB" w:rsidR="00B0369C" w:rsidRPr="00853F21" w:rsidRDefault="00B0369C" w:rsidP="00B0369C">
            <w:pPr>
              <w:pStyle w:val="TableTextWhite"/>
              <w:rPr>
                <w:b/>
              </w:rPr>
            </w:pPr>
            <w:r>
              <w:rPr>
                <w:b/>
              </w:rPr>
              <w:t>Group/</w:t>
            </w:r>
            <w:r w:rsidRPr="00853F21">
              <w:rPr>
                <w:b/>
              </w:rPr>
              <w:t>Division/</w:t>
            </w:r>
            <w:r w:rsidR="00B93882">
              <w:rPr>
                <w:b/>
              </w:rPr>
              <w:t>Agency</w:t>
            </w:r>
          </w:p>
        </w:tc>
        <w:tc>
          <w:tcPr>
            <w:tcW w:w="6530" w:type="dxa"/>
          </w:tcPr>
          <w:p w14:paraId="6E092F92" w14:textId="54E8A18C" w:rsidR="00B0369C" w:rsidRPr="00853F21" w:rsidRDefault="006F1B8C" w:rsidP="00B0369C">
            <w:pPr>
              <w:pStyle w:val="TableTextWhite"/>
              <w:rPr>
                <w:b/>
              </w:rPr>
            </w:pPr>
            <w:r>
              <w:rPr>
                <w:b/>
              </w:rPr>
              <w:t xml:space="preserve">Homes, </w:t>
            </w:r>
            <w:r w:rsidR="00B0369C">
              <w:rPr>
                <w:b/>
              </w:rPr>
              <w:t xml:space="preserve">Property </w:t>
            </w:r>
            <w:r>
              <w:rPr>
                <w:b/>
              </w:rPr>
              <w:t xml:space="preserve">&amp; </w:t>
            </w:r>
            <w:r w:rsidR="00B0369C">
              <w:rPr>
                <w:b/>
              </w:rPr>
              <w:t xml:space="preserve">Development </w:t>
            </w:r>
            <w:bookmarkStart w:id="1" w:name="_GoBack"/>
            <w:bookmarkEnd w:id="1"/>
            <w:r w:rsidR="00B0369C">
              <w:rPr>
                <w:b/>
              </w:rPr>
              <w:t>NSW</w:t>
            </w:r>
          </w:p>
        </w:tc>
      </w:tr>
      <w:tr w:rsidR="00B0369C" w:rsidRPr="00C978B9" w14:paraId="68AD4C26" w14:textId="77777777" w:rsidTr="61233093">
        <w:trPr>
          <w:cantSplit/>
        </w:trPr>
        <w:tc>
          <w:tcPr>
            <w:tcW w:w="4026" w:type="dxa"/>
            <w:vAlign w:val="center"/>
          </w:tcPr>
          <w:p w14:paraId="619AE5A5" w14:textId="77777777" w:rsidR="00B0369C" w:rsidRPr="00853F21" w:rsidRDefault="00B0369C" w:rsidP="00B0369C">
            <w:pPr>
              <w:pStyle w:val="TableTextWhite"/>
              <w:rPr>
                <w:b/>
              </w:rPr>
            </w:pPr>
            <w:r w:rsidRPr="004A3696">
              <w:rPr>
                <w:b/>
              </w:rPr>
              <w:t>Role number</w:t>
            </w:r>
          </w:p>
        </w:tc>
        <w:tc>
          <w:tcPr>
            <w:tcW w:w="6530" w:type="dxa"/>
          </w:tcPr>
          <w:p w14:paraId="0E68E1DB" w14:textId="77777777" w:rsidR="00B0369C" w:rsidRPr="004A3696" w:rsidRDefault="00B0369C" w:rsidP="00B0369C">
            <w:pPr>
              <w:pStyle w:val="TableTextWhite"/>
              <w:rPr>
                <w:b/>
              </w:rPr>
            </w:pPr>
            <w:r>
              <w:rPr>
                <w:b/>
              </w:rPr>
              <w:t>TBA</w:t>
            </w:r>
          </w:p>
        </w:tc>
      </w:tr>
      <w:tr w:rsidR="00B0369C" w:rsidRPr="00C978B9" w14:paraId="53CFD926" w14:textId="77777777" w:rsidTr="61233093">
        <w:trPr>
          <w:cantSplit/>
        </w:trPr>
        <w:tc>
          <w:tcPr>
            <w:tcW w:w="4026" w:type="dxa"/>
            <w:vAlign w:val="center"/>
          </w:tcPr>
          <w:p w14:paraId="5B4F337B" w14:textId="77777777" w:rsidR="00B0369C" w:rsidRPr="00853F21" w:rsidRDefault="00B0369C" w:rsidP="00B0369C">
            <w:pPr>
              <w:pStyle w:val="TableTextWhite"/>
              <w:rPr>
                <w:b/>
                <w:color w:val="000000"/>
              </w:rPr>
            </w:pPr>
            <w:r w:rsidRPr="00853F21">
              <w:rPr>
                <w:b/>
              </w:rPr>
              <w:t>Classification/Grade/Band</w:t>
            </w:r>
          </w:p>
        </w:tc>
        <w:tc>
          <w:tcPr>
            <w:tcW w:w="6530" w:type="dxa"/>
          </w:tcPr>
          <w:p w14:paraId="0876E22F" w14:textId="77777777" w:rsidR="00B0369C" w:rsidRPr="00853F21" w:rsidRDefault="00B0369C" w:rsidP="00B0369C">
            <w:pPr>
              <w:pStyle w:val="TableTextWhite"/>
              <w:rPr>
                <w:b/>
              </w:rPr>
            </w:pPr>
            <w:r>
              <w:rPr>
                <w:b/>
              </w:rPr>
              <w:t>Band 1</w:t>
            </w:r>
          </w:p>
        </w:tc>
      </w:tr>
      <w:tr w:rsidR="00B0369C" w:rsidRPr="00C978B9" w14:paraId="0D041FFB" w14:textId="77777777" w:rsidTr="61233093">
        <w:trPr>
          <w:cantSplit/>
        </w:trPr>
        <w:tc>
          <w:tcPr>
            <w:tcW w:w="4026" w:type="dxa"/>
            <w:vAlign w:val="center"/>
          </w:tcPr>
          <w:p w14:paraId="67CA69DC" w14:textId="77777777" w:rsidR="00B0369C" w:rsidRPr="00853F21" w:rsidRDefault="00B0369C" w:rsidP="00B0369C">
            <w:pPr>
              <w:pStyle w:val="TableTextWhite"/>
              <w:rPr>
                <w:b/>
              </w:rPr>
            </w:pPr>
            <w:r w:rsidRPr="004A3696">
              <w:rPr>
                <w:b/>
              </w:rPr>
              <w:t>Senior executive work level standards</w:t>
            </w:r>
          </w:p>
        </w:tc>
        <w:tc>
          <w:tcPr>
            <w:tcW w:w="6530" w:type="dxa"/>
          </w:tcPr>
          <w:p w14:paraId="5B4BFBB4" w14:textId="77777777" w:rsidR="00B0369C" w:rsidRPr="004A3696" w:rsidRDefault="00B0369C" w:rsidP="00B0369C">
            <w:pPr>
              <w:pStyle w:val="TableTextWhite"/>
              <w:rPr>
                <w:b/>
              </w:rPr>
            </w:pPr>
            <w:r>
              <w:rPr>
                <w:b/>
              </w:rPr>
              <w:t>Work Contribution Stream: Professional/Specialist</w:t>
            </w:r>
          </w:p>
        </w:tc>
      </w:tr>
      <w:tr w:rsidR="00B0369C" w:rsidRPr="00C978B9" w14:paraId="70F8BF66" w14:textId="77777777" w:rsidTr="61233093">
        <w:trPr>
          <w:cantSplit/>
        </w:trPr>
        <w:tc>
          <w:tcPr>
            <w:tcW w:w="4026" w:type="dxa"/>
            <w:vAlign w:val="center"/>
          </w:tcPr>
          <w:p w14:paraId="724B8FC3" w14:textId="77777777" w:rsidR="00B0369C" w:rsidRPr="00853F21" w:rsidRDefault="00B0369C" w:rsidP="00B0369C">
            <w:pPr>
              <w:pStyle w:val="TableTextWhite"/>
              <w:rPr>
                <w:b/>
                <w:color w:val="000000"/>
              </w:rPr>
            </w:pPr>
            <w:r w:rsidRPr="00853F21">
              <w:rPr>
                <w:b/>
              </w:rPr>
              <w:t>ANZSCO Code</w:t>
            </w:r>
          </w:p>
        </w:tc>
        <w:tc>
          <w:tcPr>
            <w:tcW w:w="6530" w:type="dxa"/>
          </w:tcPr>
          <w:p w14:paraId="57D712CA" w14:textId="77777777" w:rsidR="00B0369C" w:rsidRPr="00853F21" w:rsidRDefault="00B0369C" w:rsidP="00B0369C">
            <w:pPr>
              <w:pStyle w:val="TableTextWhite"/>
              <w:rPr>
                <w:b/>
              </w:rPr>
            </w:pPr>
            <w:r>
              <w:rPr>
                <w:b/>
              </w:rPr>
              <w:t>221112</w:t>
            </w:r>
          </w:p>
        </w:tc>
      </w:tr>
      <w:tr w:rsidR="00B0369C" w:rsidRPr="00C978B9" w14:paraId="457A8D79" w14:textId="77777777" w:rsidTr="61233093">
        <w:trPr>
          <w:cantSplit/>
        </w:trPr>
        <w:tc>
          <w:tcPr>
            <w:tcW w:w="4026" w:type="dxa"/>
            <w:vAlign w:val="center"/>
          </w:tcPr>
          <w:p w14:paraId="11D39B1A" w14:textId="77777777" w:rsidR="00B0369C" w:rsidRPr="00853F21" w:rsidRDefault="00B0369C" w:rsidP="00B0369C">
            <w:pPr>
              <w:pStyle w:val="TableTextWhite"/>
              <w:rPr>
                <w:b/>
                <w:color w:val="000000"/>
              </w:rPr>
            </w:pPr>
            <w:r w:rsidRPr="00853F21">
              <w:rPr>
                <w:b/>
              </w:rPr>
              <w:t>PCAT Code</w:t>
            </w:r>
          </w:p>
        </w:tc>
        <w:tc>
          <w:tcPr>
            <w:tcW w:w="6530" w:type="dxa"/>
          </w:tcPr>
          <w:p w14:paraId="7DF1EF69" w14:textId="77777777" w:rsidR="00B0369C" w:rsidRPr="00853F21" w:rsidRDefault="00B0369C" w:rsidP="00B0369C">
            <w:pPr>
              <w:pStyle w:val="TableTextWhite"/>
              <w:rPr>
                <w:b/>
              </w:rPr>
            </w:pPr>
            <w:r>
              <w:rPr>
                <w:b/>
              </w:rPr>
              <w:t>1223792</w:t>
            </w:r>
          </w:p>
        </w:tc>
      </w:tr>
      <w:tr w:rsidR="00B0369C" w:rsidRPr="00C978B9" w14:paraId="4E038F0D" w14:textId="77777777" w:rsidTr="61233093">
        <w:trPr>
          <w:cantSplit/>
        </w:trPr>
        <w:tc>
          <w:tcPr>
            <w:tcW w:w="4026" w:type="dxa"/>
            <w:vAlign w:val="center"/>
          </w:tcPr>
          <w:p w14:paraId="09923E64" w14:textId="77777777" w:rsidR="00B0369C" w:rsidRPr="00853F21" w:rsidRDefault="00B0369C" w:rsidP="00B0369C">
            <w:pPr>
              <w:pStyle w:val="TableTextWhite"/>
              <w:rPr>
                <w:b/>
                <w:color w:val="000000"/>
              </w:rPr>
            </w:pPr>
            <w:r w:rsidRPr="00853F21">
              <w:rPr>
                <w:b/>
              </w:rPr>
              <w:t>Date of Approval</w:t>
            </w:r>
          </w:p>
        </w:tc>
        <w:tc>
          <w:tcPr>
            <w:tcW w:w="6530" w:type="dxa"/>
          </w:tcPr>
          <w:p w14:paraId="4A70373A" w14:textId="543E7D22" w:rsidR="00B0369C" w:rsidRPr="00853F21" w:rsidRDefault="00710529" w:rsidP="00B0369C">
            <w:pPr>
              <w:pStyle w:val="TableTextWhite"/>
              <w:rPr>
                <w:b/>
              </w:rPr>
            </w:pPr>
            <w:r>
              <w:rPr>
                <w:b/>
              </w:rPr>
              <w:t>April 2022</w:t>
            </w:r>
          </w:p>
        </w:tc>
      </w:tr>
      <w:tr w:rsidR="00B0369C" w:rsidRPr="00C978B9" w14:paraId="7A4619F6" w14:textId="77777777" w:rsidTr="61233093">
        <w:trPr>
          <w:cantSplit/>
        </w:trPr>
        <w:tc>
          <w:tcPr>
            <w:tcW w:w="4026" w:type="dxa"/>
            <w:vAlign w:val="center"/>
          </w:tcPr>
          <w:p w14:paraId="7993BD89" w14:textId="77777777" w:rsidR="00B0369C" w:rsidRPr="00853F21" w:rsidRDefault="00B0369C" w:rsidP="00B0369C">
            <w:pPr>
              <w:pStyle w:val="TableTextWhite"/>
              <w:rPr>
                <w:b/>
              </w:rPr>
            </w:pPr>
            <w:r w:rsidRPr="004A3696">
              <w:rPr>
                <w:b/>
              </w:rPr>
              <w:t>Agency Website</w:t>
            </w:r>
          </w:p>
        </w:tc>
        <w:tc>
          <w:tcPr>
            <w:tcW w:w="6530" w:type="dxa"/>
          </w:tcPr>
          <w:p w14:paraId="33DB2C7A" w14:textId="4BC3D0B4" w:rsidR="00B0369C" w:rsidRPr="004A3696" w:rsidRDefault="008E563F" w:rsidP="00B0369C">
            <w:pPr>
              <w:pStyle w:val="TableTextWhite"/>
              <w:rPr>
                <w:b/>
              </w:rPr>
            </w:pPr>
            <w:hyperlink r:id="rId12" w:history="1">
              <w:r w:rsidR="00FD0369" w:rsidRPr="006D5469">
                <w:rPr>
                  <w:rStyle w:val="Hyperlink"/>
                  <w:b/>
                </w:rPr>
                <w:t>www.dpie.nsw.gov.au</w:t>
              </w:r>
            </w:hyperlink>
          </w:p>
        </w:tc>
      </w:tr>
    </w:tbl>
    <w:p w14:paraId="6E5EE3CE" w14:textId="77777777" w:rsidR="00057CB3" w:rsidRPr="00C978B9" w:rsidRDefault="004A3696" w:rsidP="00FB27B0">
      <w:pPr>
        <w:pStyle w:val="Heading2"/>
      </w:pPr>
      <w:r w:rsidRPr="004A3696">
        <w:t>Agency overview</w:t>
      </w:r>
    </w:p>
    <w:p w14:paraId="15863A55" w14:textId="0F63D19D" w:rsidR="00512A52" w:rsidRDefault="004A3696" w:rsidP="00FB27B0">
      <w:bookmarkStart w:id="2" w:name="_Hlk30003721"/>
      <w: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2001EEE6" w14:textId="20E7F931" w:rsidR="00C96A4D" w:rsidRPr="00C96A4D" w:rsidRDefault="00C96A4D" w:rsidP="00C96A4D">
      <w:pPr>
        <w:pStyle w:val="Heading2"/>
      </w:pPr>
      <w:r w:rsidRPr="00C96A4D">
        <w:t>Business Group Overview</w:t>
      </w:r>
    </w:p>
    <w:p w14:paraId="1CF268BA" w14:textId="501D7A3C" w:rsidR="00C96A4D" w:rsidRPr="00C96A4D" w:rsidRDefault="00C96A4D" w:rsidP="00C96A4D">
      <w:r w:rsidRPr="00C96A4D">
        <w:t xml:space="preserve">The Homes, Property &amp; Development group (the Group) within the Department of Planning and Environment (DPE) oversees the management of NSW Government assets, including: delivery and management of social and affordable housing; delivery and management of key worker housing; strategic development of NSW Government owned land and precincts; asset and facilities management for a wide variety of NSW Government owned real property assets; delivery and management of NSW Government office accommodation; real property transaction management and advisory; strategy and policy development, data analysis and innovation; and, valuation of NSW property for rating, taxing and compulsory acquisition purposes. </w:t>
      </w:r>
    </w:p>
    <w:p w14:paraId="1AA87858" w14:textId="481BBEA3" w:rsidR="00C96A4D" w:rsidRPr="00C96A4D" w:rsidRDefault="00C96A4D" w:rsidP="00C96A4D">
      <w:r w:rsidRPr="00C96A4D">
        <w:t>Property Development NSW (PDNSW), a division within the Group, is responsible for the management of a significant property portfolio on behalf of the NSW Government, co-ordination of NSW Government cluster and agency tenancies and related workplace strategy, and delivery of large scale, complex real estate projects, programs and transactions that deliver Government policy and outcomes.  PDNSW operates primarily under the provisions of two Acts and reflects the operations of two agencies, Property NSW and the Waste Assets Management Corporation (WAMC).</w:t>
      </w:r>
    </w:p>
    <w:p w14:paraId="4C1D9A77" w14:textId="25C79E7F" w:rsidR="00C96A4D" w:rsidRDefault="00C96A4D" w:rsidP="00C96A4D">
      <w:r w:rsidRPr="00C96A4D">
        <w:t>Valuer General NSW is responsible for standards and policies for the land valuation system and the determination of compensation in the compulsory acquisition process; monitoring the quality of the land values and services provided to the community; and, providing professional leadership and stewardship to the valuation industry.</w:t>
      </w:r>
    </w:p>
    <w:p w14:paraId="7072AAB6" w14:textId="77777777" w:rsidR="00C96A4D" w:rsidRDefault="00C96A4D" w:rsidP="00FB27B0"/>
    <w:p w14:paraId="103B0EDE" w14:textId="77777777" w:rsidR="004A3696" w:rsidRPr="00C978B9" w:rsidRDefault="004A3696" w:rsidP="004A3696">
      <w:pPr>
        <w:pStyle w:val="Heading2"/>
      </w:pPr>
      <w:r w:rsidRPr="00C978B9">
        <w:lastRenderedPageBreak/>
        <w:t>Primary purpose of t</w:t>
      </w:r>
      <w:r>
        <w:t>h</w:t>
      </w:r>
      <w:r w:rsidRPr="00C978B9">
        <w:t>e role</w:t>
      </w:r>
    </w:p>
    <w:p w14:paraId="44B60429" w14:textId="4DC07095" w:rsidR="004A3696" w:rsidRDefault="004A3696" w:rsidP="61233093">
      <w:r>
        <w:t>The Chief Financial Officer</w:t>
      </w:r>
      <w:r w:rsidR="00B0369C">
        <w:t xml:space="preserve"> (CFO)</w:t>
      </w:r>
      <w:r>
        <w:t xml:space="preserve">, </w:t>
      </w:r>
      <w:r w:rsidR="002D63B1">
        <w:t>PD</w:t>
      </w:r>
      <w:r>
        <w:t>NSW provides leadership and direction through the management and control of the finan</w:t>
      </w:r>
      <w:r w:rsidR="008E582D">
        <w:t>ce and</w:t>
      </w:r>
      <w:r>
        <w:t xml:space="preserve"> accounting</w:t>
      </w:r>
      <w:r w:rsidR="008E582D">
        <w:t xml:space="preserve"> function for</w:t>
      </w:r>
      <w:r>
        <w:t xml:space="preserve"> property development and management </w:t>
      </w:r>
      <w:r w:rsidR="00CB2E84">
        <w:t>operations performed within the Group, assisting</w:t>
      </w:r>
      <w:r>
        <w:t xml:space="preserve"> </w:t>
      </w:r>
      <w:r w:rsidR="00CB2E84">
        <w:t>it</w:t>
      </w:r>
      <w:r>
        <w:t xml:space="preserve"> to achieve its objectives and outcomes.  The </w:t>
      </w:r>
      <w:r w:rsidR="00B0369C">
        <w:t xml:space="preserve">role </w:t>
      </w:r>
      <w:r w:rsidR="008E582D">
        <w:t xml:space="preserve">operates at both a group and </w:t>
      </w:r>
      <w:r w:rsidR="00572A75">
        <w:t>individual entity</w:t>
      </w:r>
      <w:r w:rsidR="008E582D">
        <w:t xml:space="preserve"> level and has</w:t>
      </w:r>
      <w:r w:rsidR="00EA1249">
        <w:t xml:space="preserve"> responsibility for</w:t>
      </w:r>
      <w:r w:rsidR="008E582D">
        <w:t xml:space="preserve">: </w:t>
      </w:r>
    </w:p>
    <w:p w14:paraId="633DA740" w14:textId="2634D621" w:rsidR="00EA1249" w:rsidRDefault="00EA1249" w:rsidP="00EA1249">
      <w:pPr>
        <w:pStyle w:val="ListBullet"/>
        <w:tabs>
          <w:tab w:val="clear" w:pos="360"/>
          <w:tab w:val="num" w:pos="0"/>
          <w:tab w:val="num" w:pos="1897"/>
        </w:tabs>
      </w:pPr>
      <w:r>
        <w:t>oversight of the financial activities</w:t>
      </w:r>
      <w:r w:rsidR="00572A75">
        <w:t xml:space="preserve">, </w:t>
      </w:r>
      <w:r>
        <w:t xml:space="preserve">performance </w:t>
      </w:r>
      <w:r w:rsidR="00572A75">
        <w:t xml:space="preserve">and reporting for </w:t>
      </w:r>
      <w:r>
        <w:t>DPE’s Homes, Property &amp; Development group; and</w:t>
      </w:r>
    </w:p>
    <w:p w14:paraId="4F46284D" w14:textId="0240D3FC" w:rsidR="00EA1249" w:rsidRPr="00C04C25" w:rsidRDefault="00EA1249" w:rsidP="00EA1249">
      <w:pPr>
        <w:pStyle w:val="ListBullet"/>
        <w:tabs>
          <w:tab w:val="clear" w:pos="360"/>
          <w:tab w:val="num" w:pos="0"/>
          <w:tab w:val="num" w:pos="1897"/>
        </w:tabs>
      </w:pPr>
      <w:r>
        <w:t xml:space="preserve">finance management </w:t>
      </w:r>
      <w:r w:rsidR="00572A75">
        <w:t xml:space="preserve">for individual </w:t>
      </w:r>
      <w:r>
        <w:t>entities within the Group comprising PDNSW, WAMC and VGNSW.</w:t>
      </w:r>
    </w:p>
    <w:bookmarkEnd w:id="2"/>
    <w:p w14:paraId="15CA6480" w14:textId="77777777" w:rsidR="00057CB3" w:rsidRPr="00980BCA" w:rsidRDefault="00057CB3" w:rsidP="000C453F">
      <w:pPr>
        <w:pStyle w:val="Heading2"/>
      </w:pPr>
      <w:r w:rsidRPr="00980BCA">
        <w:t xml:space="preserve">Key </w:t>
      </w:r>
      <w:r w:rsidR="00043B92" w:rsidRPr="00980BCA">
        <w:t>a</w:t>
      </w:r>
      <w:r w:rsidRPr="00980BCA">
        <w:t>ccountabilities</w:t>
      </w:r>
    </w:p>
    <w:p w14:paraId="2D101FCF" w14:textId="11D1A5E0" w:rsidR="00C3585E" w:rsidRDefault="00C3585E" w:rsidP="00474DE7">
      <w:pPr>
        <w:pStyle w:val="ListBullet"/>
        <w:tabs>
          <w:tab w:val="clear" w:pos="360"/>
          <w:tab w:val="num" w:pos="0"/>
          <w:tab w:val="num" w:pos="1897"/>
        </w:tabs>
        <w:rPr>
          <w:lang w:eastAsia="en-AU"/>
        </w:rPr>
      </w:pPr>
      <w:r w:rsidRPr="007061A2">
        <w:t xml:space="preserve">Lead </w:t>
      </w:r>
      <w:r w:rsidR="000E5C65" w:rsidRPr="007061A2">
        <w:t xml:space="preserve">and manage </w:t>
      </w:r>
      <w:r w:rsidRPr="007061A2">
        <w:t xml:space="preserve">the finance </w:t>
      </w:r>
      <w:r w:rsidR="000E5C65" w:rsidRPr="007061A2">
        <w:t xml:space="preserve">and planning </w:t>
      </w:r>
      <w:r w:rsidRPr="007061A2">
        <w:t>function</w:t>
      </w:r>
      <w:r w:rsidR="000E5C65" w:rsidRPr="007061A2">
        <w:t>s</w:t>
      </w:r>
      <w:r w:rsidRPr="007061A2">
        <w:t xml:space="preserve"> for </w:t>
      </w:r>
      <w:r w:rsidR="008E582D">
        <w:t xml:space="preserve">the Group </w:t>
      </w:r>
      <w:r w:rsidRPr="007061A2">
        <w:t>including the development and implementation of an integrated</w:t>
      </w:r>
      <w:r w:rsidR="001535A9" w:rsidRPr="007061A2">
        <w:t xml:space="preserve"> </w:t>
      </w:r>
      <w:r w:rsidRPr="007061A2">
        <w:t xml:space="preserve">strategic financial policy framework to support excellence in financial management </w:t>
      </w:r>
      <w:r w:rsidR="00572A75">
        <w:t>that</w:t>
      </w:r>
      <w:r w:rsidR="00572A75" w:rsidRPr="007061A2">
        <w:t xml:space="preserve"> </w:t>
      </w:r>
      <w:r w:rsidRPr="007061A2">
        <w:t>ensure</w:t>
      </w:r>
      <w:r w:rsidR="00572A75">
        <w:t>s</w:t>
      </w:r>
      <w:r w:rsidRPr="007061A2">
        <w:t xml:space="preserve"> the </w:t>
      </w:r>
      <w:r w:rsidR="00572A75">
        <w:t>Group</w:t>
      </w:r>
      <w:r w:rsidR="00572A75" w:rsidRPr="007061A2">
        <w:t xml:space="preserve">’s </w:t>
      </w:r>
      <w:r w:rsidRPr="007061A2">
        <w:t xml:space="preserve">financial resources are effectively allocated and controlled to </w:t>
      </w:r>
      <w:r w:rsidR="00C04C25" w:rsidRPr="007061A2">
        <w:t>optimise</w:t>
      </w:r>
      <w:r w:rsidRPr="007061A2">
        <w:t xml:space="preserve"> outcomes</w:t>
      </w:r>
      <w:r>
        <w:t>.</w:t>
      </w:r>
    </w:p>
    <w:p w14:paraId="36FFBC2A" w14:textId="049D08B0" w:rsidR="00FC5AC5" w:rsidRPr="005373FE" w:rsidRDefault="000F1F30" w:rsidP="000E5C65">
      <w:pPr>
        <w:pStyle w:val="ListBullet"/>
        <w:rPr>
          <w:lang w:eastAsia="en-AU"/>
        </w:rPr>
      </w:pPr>
      <w:r>
        <w:t>Lead and manage the P</w:t>
      </w:r>
      <w:r w:rsidR="002D63B1">
        <w:t>D</w:t>
      </w:r>
      <w:r>
        <w:t>NSW</w:t>
      </w:r>
      <w:r w:rsidR="00572A75">
        <w:t>, WAMC</w:t>
      </w:r>
      <w:r w:rsidR="008E582D">
        <w:t xml:space="preserve"> and VGNSW</w:t>
      </w:r>
      <w:r>
        <w:t xml:space="preserve"> financial planning functions to achieve financial sustainability</w:t>
      </w:r>
      <w:r w:rsidR="002D63B1">
        <w:t>,</w:t>
      </w:r>
      <w:r>
        <w:t xml:space="preserve"> including financial control and management, budgeting, </w:t>
      </w:r>
      <w:r w:rsidR="00FC5AC5">
        <w:t xml:space="preserve">forecasting, </w:t>
      </w:r>
      <w:r>
        <w:t xml:space="preserve">external and internal reporting and </w:t>
      </w:r>
      <w:r w:rsidR="00FC5AC5">
        <w:t xml:space="preserve">assistance in </w:t>
      </w:r>
      <w:r>
        <w:t xml:space="preserve">preparation of business cases to comply with Cluster financial governance policies and </w:t>
      </w:r>
      <w:r w:rsidR="002D63B1">
        <w:t>practices,</w:t>
      </w:r>
      <w:r>
        <w:t xml:space="preserve"> NSW Treasury and Australian accounting standards.</w:t>
      </w:r>
      <w:r w:rsidR="000E5C65">
        <w:t xml:space="preserve"> </w:t>
      </w:r>
    </w:p>
    <w:p w14:paraId="1780C42A" w14:textId="36F8CF75" w:rsidR="00B93882" w:rsidRPr="00B93882" w:rsidRDefault="00434A1D" w:rsidP="00B93882">
      <w:pPr>
        <w:pStyle w:val="ListBullet"/>
      </w:pPr>
      <w:r>
        <w:t>Lead the</w:t>
      </w:r>
      <w:r w:rsidR="00F63FA7">
        <w:t xml:space="preserve"> </w:t>
      </w:r>
      <w:r w:rsidR="00B46D7D">
        <w:t xml:space="preserve">optimal </w:t>
      </w:r>
      <w:r w:rsidR="000F1F30">
        <w:t>delivery</w:t>
      </w:r>
      <w:r>
        <w:t xml:space="preserve"> of </w:t>
      </w:r>
      <w:r w:rsidR="000F1F30">
        <w:t xml:space="preserve">financial </w:t>
      </w:r>
      <w:r w:rsidR="00B46D7D">
        <w:t xml:space="preserve">management, analysis and reporting </w:t>
      </w:r>
      <w:r w:rsidR="003A173E">
        <w:t xml:space="preserve">across the </w:t>
      </w:r>
      <w:r w:rsidR="00572A75">
        <w:t xml:space="preserve">Group’s </w:t>
      </w:r>
      <w:r w:rsidR="000F1F30">
        <w:t>commercial property projects</w:t>
      </w:r>
      <w:r w:rsidR="00ED1702">
        <w:t xml:space="preserve"> and </w:t>
      </w:r>
      <w:r w:rsidR="000F1F30">
        <w:t>leasing strategies</w:t>
      </w:r>
      <w:r w:rsidR="00710529">
        <w:t xml:space="preserve"> </w:t>
      </w:r>
      <w:r w:rsidR="00B93882">
        <w:t>and o</w:t>
      </w:r>
      <w:r w:rsidR="00B93882" w:rsidRPr="00B93882">
        <w:t>versee financial governance and control strategies to identify and mitigate financial risks, maintain</w:t>
      </w:r>
      <w:r w:rsidR="002D63B1">
        <w:t>ing</w:t>
      </w:r>
      <w:r w:rsidR="00B93882" w:rsidRPr="00B93882">
        <w:t xml:space="preserve"> appropriate financial governance processes and ensur</w:t>
      </w:r>
      <w:r w:rsidR="002D63B1">
        <w:t>ing</w:t>
      </w:r>
      <w:r w:rsidR="00B93882" w:rsidRPr="00B93882">
        <w:t xml:space="preserve"> compliance with public sector financial policy, Treasury and legislative requirements. </w:t>
      </w:r>
    </w:p>
    <w:p w14:paraId="0B1DACBD" w14:textId="5CE8D912" w:rsidR="00413E53" w:rsidRDefault="008E582D" w:rsidP="00641CB8">
      <w:pPr>
        <w:pStyle w:val="ListBullet"/>
        <w:rPr>
          <w:lang w:eastAsia="en-AU"/>
        </w:rPr>
      </w:pPr>
      <w:r>
        <w:rPr>
          <w:lang w:eastAsia="en-AU"/>
        </w:rPr>
        <w:t>Lead</w:t>
      </w:r>
      <w:r w:rsidR="00A70A2F">
        <w:rPr>
          <w:lang w:eastAsia="en-AU"/>
        </w:rPr>
        <w:t xml:space="preserve"> the</w:t>
      </w:r>
      <w:r w:rsidR="00E31105">
        <w:rPr>
          <w:lang w:eastAsia="en-AU"/>
        </w:rPr>
        <w:t xml:space="preserve"> </w:t>
      </w:r>
      <w:r w:rsidR="00321381">
        <w:rPr>
          <w:lang w:eastAsia="en-AU"/>
        </w:rPr>
        <w:t>PDNSW</w:t>
      </w:r>
      <w:r w:rsidR="00572A75">
        <w:rPr>
          <w:lang w:eastAsia="en-AU"/>
        </w:rPr>
        <w:t>, WAMC and VGNSW</w:t>
      </w:r>
      <w:r w:rsidR="00321381">
        <w:rPr>
          <w:lang w:eastAsia="en-AU"/>
        </w:rPr>
        <w:t xml:space="preserve"> </w:t>
      </w:r>
      <w:r w:rsidR="00F04F7D">
        <w:rPr>
          <w:lang w:eastAsia="en-AU"/>
        </w:rPr>
        <w:t xml:space="preserve">statutory reporting </w:t>
      </w:r>
      <w:r w:rsidR="00BF5772">
        <w:rPr>
          <w:lang w:eastAsia="en-AU"/>
        </w:rPr>
        <w:t>process</w:t>
      </w:r>
      <w:r w:rsidR="00C918E0">
        <w:rPr>
          <w:lang w:eastAsia="en-AU"/>
        </w:rPr>
        <w:t xml:space="preserve">, </w:t>
      </w:r>
      <w:r w:rsidR="009A6A84">
        <w:rPr>
          <w:lang w:eastAsia="en-AU"/>
        </w:rPr>
        <w:t xml:space="preserve">including </w:t>
      </w:r>
      <w:r w:rsidR="00FC5AC5">
        <w:rPr>
          <w:lang w:eastAsia="en-AU"/>
        </w:rPr>
        <w:t xml:space="preserve">preparation of annual statutory financial statements, managing the </w:t>
      </w:r>
      <w:r w:rsidR="00B0369C">
        <w:t xml:space="preserve">external audit </w:t>
      </w:r>
      <w:r w:rsidR="00FC5AC5">
        <w:t>process</w:t>
      </w:r>
      <w:r w:rsidR="00B0369C">
        <w:t>, group</w:t>
      </w:r>
      <w:r w:rsidR="002D63B1">
        <w:t>-</w:t>
      </w:r>
      <w:r w:rsidR="00B0369C">
        <w:t xml:space="preserve">wide </w:t>
      </w:r>
      <w:r w:rsidR="00FC5AC5">
        <w:t xml:space="preserve">financial and budgetary </w:t>
      </w:r>
      <w:r w:rsidR="00B0369C">
        <w:t xml:space="preserve">risk assessment and management and </w:t>
      </w:r>
      <w:r w:rsidR="00C918E0">
        <w:rPr>
          <w:lang w:eastAsia="en-AU"/>
        </w:rPr>
        <w:t>present</w:t>
      </w:r>
      <w:r w:rsidR="009A6A84">
        <w:rPr>
          <w:lang w:eastAsia="en-AU"/>
        </w:rPr>
        <w:t>ing</w:t>
      </w:r>
      <w:r w:rsidR="00C918E0">
        <w:rPr>
          <w:lang w:eastAsia="en-AU"/>
        </w:rPr>
        <w:t xml:space="preserve"> to the Audit</w:t>
      </w:r>
      <w:r w:rsidR="00BF5772">
        <w:rPr>
          <w:lang w:eastAsia="en-AU"/>
        </w:rPr>
        <w:t xml:space="preserve"> </w:t>
      </w:r>
      <w:r w:rsidR="00A75D80">
        <w:rPr>
          <w:lang w:eastAsia="en-AU"/>
        </w:rPr>
        <w:t xml:space="preserve">and </w:t>
      </w:r>
      <w:r w:rsidR="00C918E0">
        <w:rPr>
          <w:lang w:eastAsia="en-AU"/>
        </w:rPr>
        <w:t>Risk Committee</w:t>
      </w:r>
      <w:r w:rsidR="00FC5AC5">
        <w:rPr>
          <w:lang w:eastAsia="en-AU"/>
        </w:rPr>
        <w:t xml:space="preserve"> on financial performance and risks.</w:t>
      </w:r>
      <w:r w:rsidR="00BF5772">
        <w:rPr>
          <w:lang w:eastAsia="en-AU"/>
        </w:rPr>
        <w:t xml:space="preserve"> </w:t>
      </w:r>
    </w:p>
    <w:p w14:paraId="5C165F42" w14:textId="67623CFF" w:rsidR="006A5C6E" w:rsidRDefault="008E582D" w:rsidP="00641CB8">
      <w:pPr>
        <w:pStyle w:val="ListBullet"/>
        <w:rPr>
          <w:lang w:eastAsia="en-AU"/>
        </w:rPr>
      </w:pPr>
      <w:r>
        <w:t>Lead d</w:t>
      </w:r>
      <w:r w:rsidRPr="007061A2">
        <w:t>evelop</w:t>
      </w:r>
      <w:r>
        <w:t>ment</w:t>
      </w:r>
      <w:r w:rsidR="000F1F30" w:rsidRPr="007061A2">
        <w:t>, manage</w:t>
      </w:r>
      <w:r>
        <w:t>ment</w:t>
      </w:r>
      <w:r w:rsidR="000F1F30" w:rsidRPr="007061A2">
        <w:t xml:space="preserve"> and report</w:t>
      </w:r>
      <w:r>
        <w:t>ing</w:t>
      </w:r>
      <w:r w:rsidR="000F1F30" w:rsidRPr="007061A2">
        <w:t xml:space="preserve"> on budgets to ensure materiality, accuracy, and compliance and facilitate the achievement of financial targets within budgetary constraints</w:t>
      </w:r>
      <w:r w:rsidR="00D37519" w:rsidRPr="007061A2">
        <w:t xml:space="preserve">, including the delivery of </w:t>
      </w:r>
      <w:r w:rsidR="00836A63" w:rsidRPr="007061A2">
        <w:t xml:space="preserve">property budgets to </w:t>
      </w:r>
      <w:r w:rsidR="00131DBF" w:rsidRPr="007061A2">
        <w:t xml:space="preserve">NSW </w:t>
      </w:r>
      <w:r w:rsidR="002D63B1" w:rsidRPr="007061A2">
        <w:t>a</w:t>
      </w:r>
      <w:r w:rsidR="00131DBF" w:rsidRPr="007061A2">
        <w:t>gencies</w:t>
      </w:r>
      <w:r w:rsidR="002D63B1" w:rsidRPr="007061A2">
        <w:t xml:space="preserve"> PDNSW supports through the provision of workplace accommodation</w:t>
      </w:r>
      <w:r w:rsidR="00131DBF">
        <w:t>.</w:t>
      </w:r>
    </w:p>
    <w:p w14:paraId="5F18F1BA" w14:textId="408CFD48" w:rsidR="00545DD1" w:rsidRDefault="008E582D" w:rsidP="00641CB8">
      <w:pPr>
        <w:pStyle w:val="ListBullet"/>
        <w:rPr>
          <w:lang w:eastAsia="en-AU"/>
        </w:rPr>
      </w:pPr>
      <w:r>
        <w:t>Lead the p</w:t>
      </w:r>
      <w:r w:rsidR="00545DD1">
        <w:t>repar</w:t>
      </w:r>
      <w:r>
        <w:t>ation of</w:t>
      </w:r>
      <w:r w:rsidR="00545DD1">
        <w:t xml:space="preserve"> accurate forecasts throughout the year (including future year impacts) appropriately reflecting cash and non-cash impacts across the </w:t>
      </w:r>
      <w:r w:rsidR="00572A75">
        <w:t xml:space="preserve">Group </w:t>
      </w:r>
      <w:r w:rsidR="00545DD1">
        <w:t>and identifying mitigation strategies where possible.</w:t>
      </w:r>
    </w:p>
    <w:p w14:paraId="61514370" w14:textId="6AAC4C51" w:rsidR="006A5C6E" w:rsidRDefault="008E582D" w:rsidP="00D14A26">
      <w:pPr>
        <w:pStyle w:val="ListBullet"/>
        <w:rPr>
          <w:lang w:eastAsia="en-AU"/>
        </w:rPr>
      </w:pPr>
      <w:r>
        <w:t>Support</w:t>
      </w:r>
      <w:r w:rsidR="00434A1D">
        <w:t xml:space="preserve"> </w:t>
      </w:r>
      <w:r w:rsidR="000F1F30">
        <w:t xml:space="preserve">the development of asset management strategies, systems and practices </w:t>
      </w:r>
      <w:r w:rsidR="0012150D">
        <w:t xml:space="preserve">through financial analysis and reporting </w:t>
      </w:r>
      <w:r w:rsidR="000F1F30">
        <w:t xml:space="preserve">to achieve optimal return on investment and effective </w:t>
      </w:r>
      <w:r w:rsidR="002D63B1">
        <w:t>utilisation</w:t>
      </w:r>
      <w:r w:rsidR="000F1F30">
        <w:t xml:space="preserve"> of the property portfolio.</w:t>
      </w:r>
    </w:p>
    <w:p w14:paraId="7A93305D" w14:textId="6B8562BA" w:rsidR="00434A1D" w:rsidRDefault="00434A1D" w:rsidP="00434A1D">
      <w:pPr>
        <w:pStyle w:val="ListBullet"/>
        <w:rPr>
          <w:lang w:eastAsia="en-AU"/>
        </w:rPr>
      </w:pPr>
      <w:r>
        <w:t xml:space="preserve">Contribute to the strategic planning processes for </w:t>
      </w:r>
      <w:r w:rsidR="008E582D">
        <w:t>the Group</w:t>
      </w:r>
      <w:r>
        <w:t>, ensuring plans are informed by high quality financial management advice, identify business improvement opportunities, funding and resource needs and support operational delivery in line with statutory purposes and NSW Government requirements.</w:t>
      </w:r>
    </w:p>
    <w:p w14:paraId="400A3825" w14:textId="77777777" w:rsidR="00057CB3" w:rsidRPr="00C978B9" w:rsidRDefault="00057CB3" w:rsidP="000C453F">
      <w:pPr>
        <w:pStyle w:val="Heading2"/>
      </w:pPr>
      <w:r w:rsidRPr="00C978B9">
        <w:t>Key</w:t>
      </w:r>
      <w:r w:rsidR="00E31CD3" w:rsidRPr="00C978B9">
        <w:t xml:space="preserve"> </w:t>
      </w:r>
      <w:r w:rsidR="00043B92">
        <w:t>c</w:t>
      </w:r>
      <w:r w:rsidRPr="00C978B9">
        <w:t>hallenges</w:t>
      </w:r>
    </w:p>
    <w:p w14:paraId="24A99915" w14:textId="7621E5CF" w:rsidR="008E582D" w:rsidRPr="007061A2" w:rsidRDefault="008E582D">
      <w:pPr>
        <w:pStyle w:val="ListBullet"/>
        <w:rPr>
          <w:rFonts w:eastAsia="Arial" w:cs="Arial"/>
          <w:szCs w:val="22"/>
          <w:lang w:eastAsia="en-AU"/>
        </w:rPr>
      </w:pPr>
      <w:r>
        <w:rPr>
          <w:rFonts w:eastAsia="Arial" w:cs="Arial"/>
          <w:szCs w:val="22"/>
          <w:lang w:eastAsia="en-AU"/>
        </w:rPr>
        <w:t xml:space="preserve">Striking a balance between finance and accounting functions where primary responsibility is held </w:t>
      </w:r>
      <w:r w:rsidR="00B7023E">
        <w:rPr>
          <w:rFonts w:eastAsia="Arial" w:cs="Arial"/>
          <w:szCs w:val="22"/>
          <w:lang w:eastAsia="en-AU"/>
        </w:rPr>
        <w:t xml:space="preserve">for a complex array of property functions and services </w:t>
      </w:r>
      <w:r>
        <w:rPr>
          <w:rFonts w:eastAsia="Arial" w:cs="Arial"/>
          <w:szCs w:val="22"/>
          <w:lang w:eastAsia="en-AU"/>
        </w:rPr>
        <w:t xml:space="preserve">and oversight of </w:t>
      </w:r>
      <w:r w:rsidR="00B7023E">
        <w:rPr>
          <w:rFonts w:eastAsia="Arial" w:cs="Arial"/>
          <w:szCs w:val="22"/>
          <w:lang w:eastAsia="en-AU"/>
        </w:rPr>
        <w:t>like</w:t>
      </w:r>
      <w:r>
        <w:rPr>
          <w:rFonts w:eastAsia="Arial" w:cs="Arial"/>
          <w:szCs w:val="22"/>
          <w:lang w:eastAsia="en-AU"/>
        </w:rPr>
        <w:t xml:space="preserve"> functions performed</w:t>
      </w:r>
      <w:r w:rsidR="00B7023E">
        <w:rPr>
          <w:rFonts w:eastAsia="Arial" w:cs="Arial"/>
          <w:szCs w:val="22"/>
          <w:lang w:eastAsia="en-AU"/>
        </w:rPr>
        <w:t xml:space="preserve"> for other entities within the Group.</w:t>
      </w:r>
    </w:p>
    <w:p w14:paraId="20A3559E" w14:textId="25962B83" w:rsidR="0013550D" w:rsidRDefault="0013550D">
      <w:pPr>
        <w:pStyle w:val="ListBullet"/>
        <w:rPr>
          <w:rFonts w:eastAsia="Arial" w:cs="Arial"/>
          <w:szCs w:val="22"/>
          <w:lang w:eastAsia="en-AU"/>
        </w:rPr>
      </w:pPr>
      <w:r w:rsidRPr="006369BC">
        <w:rPr>
          <w:rFonts w:eastAsiaTheme="minorEastAsia"/>
          <w:szCs w:val="22"/>
        </w:rPr>
        <w:t>Designing</w:t>
      </w:r>
      <w:r>
        <w:t xml:space="preserve"> and implementing a strategic finance strategy and model for </w:t>
      </w:r>
      <w:r w:rsidR="00B7023E">
        <w:t xml:space="preserve">the Group </w:t>
      </w:r>
      <w:r>
        <w:t>that establishes a</w:t>
      </w:r>
      <w:r w:rsidR="00EB0511">
        <w:t xml:space="preserve"> </w:t>
      </w:r>
      <w:r>
        <w:t>balance between strategic, agency-based operational and sourced services</w:t>
      </w:r>
      <w:r w:rsidR="006C021E">
        <w:t>.</w:t>
      </w:r>
    </w:p>
    <w:p w14:paraId="6318BEC7" w14:textId="4FED579F" w:rsidR="006A5C6E" w:rsidRDefault="00434A1D">
      <w:pPr>
        <w:pStyle w:val="ListBullet"/>
        <w:rPr>
          <w:lang w:eastAsia="en-AU"/>
        </w:rPr>
      </w:pPr>
      <w:r>
        <w:lastRenderedPageBreak/>
        <w:t>Building</w:t>
      </w:r>
      <w:r w:rsidR="00CE5BA4">
        <w:t xml:space="preserve"> </w:t>
      </w:r>
      <w:r w:rsidR="000F1F30">
        <w:t>a culture that embraces change and innovation</w:t>
      </w:r>
      <w:r w:rsidR="00CE5BA4">
        <w:t xml:space="preserve"> and</w:t>
      </w:r>
      <w:r w:rsidR="000F1F30">
        <w:t xml:space="preserve"> continuous improvement across a diverse portfolio of activities while maintaining strong governance frameworks and procedural controls</w:t>
      </w:r>
      <w:r w:rsidR="002D63B1">
        <w:t xml:space="preserve"> that encourage transparency, accountability and accuracy</w:t>
      </w:r>
      <w:r w:rsidR="000F1F30">
        <w:t>.</w:t>
      </w:r>
    </w:p>
    <w:p w14:paraId="26379838" w14:textId="77777777" w:rsidR="00057CB3" w:rsidRDefault="00043B92" w:rsidP="000C453F">
      <w:pPr>
        <w:pStyle w:val="Heading2"/>
      </w:pPr>
      <w:r>
        <w:t>Key r</w:t>
      </w:r>
      <w:r w:rsidR="00057CB3" w:rsidRPr="00C978B9">
        <w:t>elationships</w:t>
      </w:r>
    </w:p>
    <w:p w14:paraId="3DD77210" w14:textId="77777777" w:rsidR="00C34914" w:rsidRDefault="00C34914" w:rsidP="00FB27B0">
      <w:pPr>
        <w:spacing w:before="360"/>
        <w:rPr>
          <w:b/>
          <w:bCs/>
        </w:rPr>
      </w:pPr>
      <w:r>
        <w:rPr>
          <w:b/>
          <w:bCs/>
        </w:rPr>
        <w:t>Internal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Internal_Key_RelationshipsTable"/>
        <w:tblDescription w:val="PSC_Internal_Key_RelationshipsTable"/>
      </w:tblPr>
      <w:tblGrid>
        <w:gridCol w:w="3601"/>
        <w:gridCol w:w="6946"/>
      </w:tblGrid>
      <w:tr w:rsidR="00057CB3" w:rsidRPr="00C978B9" w14:paraId="470F075E"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0D3FA1DD" w14:textId="77777777" w:rsidR="00057CB3" w:rsidRPr="00C978B9" w:rsidRDefault="00057CB3" w:rsidP="00803E47">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5D314ACA" w14:textId="77777777" w:rsidR="00057CB3" w:rsidRPr="00C978B9" w:rsidRDefault="00057CB3" w:rsidP="00803E47">
            <w:pPr>
              <w:pStyle w:val="TableTextWhite0"/>
            </w:pPr>
            <w:r w:rsidRPr="00C978B9">
              <w:t>Why</w:t>
            </w:r>
          </w:p>
        </w:tc>
      </w:tr>
      <w:tr w:rsidR="0002436B" w:rsidRPr="00C978B9" w14:paraId="2ED97A57" w14:textId="77777777" w:rsidTr="00103875">
        <w:trPr>
          <w:cantSplit/>
        </w:trPr>
        <w:tc>
          <w:tcPr>
            <w:tcW w:w="3601" w:type="dxa"/>
          </w:tcPr>
          <w:p w14:paraId="269A6EC7" w14:textId="40262104" w:rsidR="0002436B" w:rsidRPr="006A70E6" w:rsidRDefault="001777B7" w:rsidP="00A15CDB">
            <w:pPr>
              <w:pStyle w:val="TableText"/>
              <w:rPr>
                <w:sz w:val="22"/>
                <w:szCs w:val="22"/>
              </w:rPr>
            </w:pPr>
            <w:bookmarkStart w:id="3" w:name="InternalRelationships"/>
            <w:r w:rsidRPr="006A70E6">
              <w:rPr>
                <w:sz w:val="22"/>
                <w:szCs w:val="22"/>
              </w:rPr>
              <w:t xml:space="preserve">Chief Executive Officer and </w:t>
            </w:r>
            <w:r w:rsidR="00596C1A" w:rsidRPr="006A70E6">
              <w:rPr>
                <w:sz w:val="22"/>
                <w:szCs w:val="22"/>
              </w:rPr>
              <w:t>Deputy Secretary</w:t>
            </w:r>
          </w:p>
        </w:tc>
        <w:tc>
          <w:tcPr>
            <w:tcW w:w="6946" w:type="dxa"/>
          </w:tcPr>
          <w:p w14:paraId="1C693A49" w14:textId="77777777" w:rsidR="00B7023E" w:rsidRPr="00E604B0" w:rsidRDefault="00B7023E" w:rsidP="00B7023E">
            <w:pPr>
              <w:pStyle w:val="ListBullet"/>
            </w:pPr>
            <w:r w:rsidRPr="00E604B0">
              <w:t>Liaise to receive instructions and understand work priorities.</w:t>
            </w:r>
          </w:p>
          <w:p w14:paraId="0BEDD146" w14:textId="3A473E22" w:rsidR="00B7023E" w:rsidRPr="00E604B0" w:rsidRDefault="00B7023E" w:rsidP="00B7023E">
            <w:pPr>
              <w:pStyle w:val="ListBullet"/>
            </w:pPr>
            <w:r w:rsidRPr="00E604B0">
              <w:t xml:space="preserve">Provide project and budgetary support as </w:t>
            </w:r>
            <w:r>
              <w:t xml:space="preserve">finance </w:t>
            </w:r>
            <w:r w:rsidRPr="00E604B0">
              <w:t>business partner to</w:t>
            </w:r>
            <w:r>
              <w:t xml:space="preserve"> peers on the </w:t>
            </w:r>
            <w:r w:rsidRPr="00E604B0">
              <w:t>executive management</w:t>
            </w:r>
            <w:r>
              <w:t xml:space="preserve"> team</w:t>
            </w:r>
            <w:r w:rsidRPr="00E604B0">
              <w:t xml:space="preserve">. </w:t>
            </w:r>
          </w:p>
          <w:p w14:paraId="3D821A3C" w14:textId="77777777" w:rsidR="00B7023E" w:rsidRDefault="00B7023E" w:rsidP="00B7023E">
            <w:pPr>
              <w:pStyle w:val="ListBullet"/>
            </w:pPr>
            <w:r w:rsidRPr="00E604B0">
              <w:t>Keep informed of and provide advice and recommendations on new or emerging issues.</w:t>
            </w:r>
          </w:p>
          <w:p w14:paraId="4335454A" w14:textId="77777777" w:rsidR="00B7023E" w:rsidRPr="00E604B0" w:rsidRDefault="00B7023E" w:rsidP="00B7023E">
            <w:pPr>
              <w:pStyle w:val="ListBullet"/>
            </w:pPr>
            <w:r>
              <w:t>Proactively identify and implement operational changes to maximise the shared services offering or internal business processes thus reducing operational costs.</w:t>
            </w:r>
          </w:p>
          <w:p w14:paraId="0D9882AA" w14:textId="1872DB7C" w:rsidR="006A5C6E" w:rsidRDefault="00B7023E" w:rsidP="00B7023E">
            <w:pPr>
              <w:pStyle w:val="ListBullet"/>
              <w:rPr>
                <w:lang w:eastAsia="en-AU"/>
              </w:rPr>
            </w:pPr>
            <w:r w:rsidRPr="00E604B0">
              <w:t xml:space="preserve">Contribute to work </w:t>
            </w:r>
            <w:r>
              <w:t xml:space="preserve">on </w:t>
            </w:r>
            <w:r w:rsidRPr="00E604B0">
              <w:t>program development, business process improvement and team business outcomes.</w:t>
            </w:r>
          </w:p>
        </w:tc>
      </w:tr>
      <w:tr w:rsidR="00B7023E" w:rsidRPr="00C978B9" w14:paraId="1932DDEF" w14:textId="77777777" w:rsidTr="00103875">
        <w:trPr>
          <w:cantSplit/>
        </w:trPr>
        <w:tc>
          <w:tcPr>
            <w:tcW w:w="3601" w:type="dxa"/>
          </w:tcPr>
          <w:p w14:paraId="22627550" w14:textId="181705CD" w:rsidR="00B7023E" w:rsidRPr="006A70E6" w:rsidRDefault="00B7023E" w:rsidP="00A15CDB">
            <w:pPr>
              <w:pStyle w:val="TableText"/>
              <w:rPr>
                <w:sz w:val="22"/>
                <w:szCs w:val="22"/>
              </w:rPr>
            </w:pPr>
            <w:r w:rsidRPr="007061A2">
              <w:rPr>
                <w:sz w:val="22"/>
                <w:szCs w:val="22"/>
              </w:rPr>
              <w:t>Division / Entity Executives and Senior Managers</w:t>
            </w:r>
          </w:p>
        </w:tc>
        <w:tc>
          <w:tcPr>
            <w:tcW w:w="6946" w:type="dxa"/>
          </w:tcPr>
          <w:p w14:paraId="74FD16DE" w14:textId="77777777" w:rsidR="00B7023E" w:rsidRPr="00E604B0" w:rsidRDefault="00B7023E" w:rsidP="00B7023E">
            <w:pPr>
              <w:pStyle w:val="ListBullet"/>
            </w:pPr>
            <w:r w:rsidRPr="00E604B0">
              <w:t>Develop and maintain effective collaborative relationships.</w:t>
            </w:r>
          </w:p>
          <w:p w14:paraId="2C63397D" w14:textId="77777777" w:rsidR="00B7023E" w:rsidRPr="00E604B0" w:rsidRDefault="00B7023E" w:rsidP="00B7023E">
            <w:pPr>
              <w:pStyle w:val="ListBullet"/>
            </w:pPr>
            <w:r w:rsidRPr="00E604B0">
              <w:t>Provide high level strategic advice and support on business area financial management and sustainability.</w:t>
            </w:r>
          </w:p>
          <w:p w14:paraId="75A13292" w14:textId="77777777" w:rsidR="00B7023E" w:rsidRPr="00E604B0" w:rsidRDefault="00B7023E" w:rsidP="00B7023E">
            <w:pPr>
              <w:pStyle w:val="ListBullet"/>
            </w:pPr>
            <w:r w:rsidRPr="00E604B0">
              <w:t>Engage to influence adoption of agreed strategies and solutions.</w:t>
            </w:r>
          </w:p>
          <w:p w14:paraId="363B3A28" w14:textId="441DF3CA" w:rsidR="00B7023E" w:rsidRDefault="00B7023E" w:rsidP="00B7023E">
            <w:pPr>
              <w:pStyle w:val="ListBullet"/>
            </w:pPr>
            <w:r w:rsidRPr="00E604B0">
              <w:t>Provide training and support to ensure appropriate financial management controls.</w:t>
            </w:r>
          </w:p>
        </w:tc>
      </w:tr>
      <w:tr w:rsidR="0002436B" w:rsidRPr="00C978B9" w14:paraId="488B037A" w14:textId="77777777" w:rsidTr="00103875">
        <w:trPr>
          <w:cantSplit/>
        </w:trPr>
        <w:tc>
          <w:tcPr>
            <w:tcW w:w="3601" w:type="dxa"/>
          </w:tcPr>
          <w:p w14:paraId="6837397D" w14:textId="77777777" w:rsidR="0002436B" w:rsidRPr="006A70E6" w:rsidRDefault="00596C1A" w:rsidP="00A15CDB">
            <w:pPr>
              <w:pStyle w:val="TableText"/>
              <w:rPr>
                <w:sz w:val="22"/>
                <w:szCs w:val="22"/>
              </w:rPr>
            </w:pPr>
            <w:r w:rsidRPr="006A70E6">
              <w:rPr>
                <w:sz w:val="22"/>
                <w:szCs w:val="22"/>
              </w:rPr>
              <w:t>Direct Reports</w:t>
            </w:r>
          </w:p>
        </w:tc>
        <w:tc>
          <w:tcPr>
            <w:tcW w:w="6946" w:type="dxa"/>
          </w:tcPr>
          <w:p w14:paraId="7582CA4A" w14:textId="3EFB45BC" w:rsidR="006A5C6E" w:rsidRDefault="000F1F30" w:rsidP="00641CB8">
            <w:pPr>
              <w:pStyle w:val="ListBullet"/>
              <w:rPr>
                <w:lang w:eastAsia="en-AU"/>
              </w:rPr>
            </w:pPr>
            <w:r>
              <w:t xml:space="preserve">Manage, lead and empower staff to </w:t>
            </w:r>
            <w:r w:rsidR="00B7023E">
              <w:t xml:space="preserve">deliver </w:t>
            </w:r>
            <w:r>
              <w:t xml:space="preserve">high quality operations and services </w:t>
            </w:r>
            <w:r w:rsidR="00B7023E">
              <w:t xml:space="preserve">that </w:t>
            </w:r>
            <w:r>
              <w:t>meet agreed performance outcomes as defined in corporate, strategic and business plans</w:t>
            </w:r>
            <w:r w:rsidR="00B7023E">
              <w:t>.</w:t>
            </w:r>
          </w:p>
          <w:p w14:paraId="769399B2" w14:textId="2CD21A68" w:rsidR="00B7023E" w:rsidRDefault="00B7023E" w:rsidP="00641CB8">
            <w:pPr>
              <w:pStyle w:val="ListBullet"/>
              <w:rPr>
                <w:lang w:eastAsia="en-AU"/>
              </w:rPr>
            </w:pPr>
            <w:r w:rsidRPr="00210765">
              <w:t>Provide leadership, guidance, professional advice and support to manage peak workloads and resolve complex or demanding service requests</w:t>
            </w:r>
            <w:r>
              <w:t>.</w:t>
            </w:r>
          </w:p>
          <w:p w14:paraId="134BC048" w14:textId="260A29AB" w:rsidR="00B7023E" w:rsidRDefault="00B7023E" w:rsidP="00641CB8">
            <w:pPr>
              <w:pStyle w:val="ListBullet"/>
              <w:rPr>
                <w:lang w:eastAsia="en-AU"/>
              </w:rPr>
            </w:pPr>
            <w:r w:rsidRPr="00210765">
              <w:t>Work collaboratively and support team to achieve business outcomes</w:t>
            </w:r>
            <w:r>
              <w:t>.</w:t>
            </w:r>
          </w:p>
          <w:p w14:paraId="4E48DD95" w14:textId="176A908D" w:rsidR="00B7023E" w:rsidRPr="007061A2" w:rsidRDefault="00B7023E" w:rsidP="007061A2">
            <w:pPr>
              <w:numPr>
                <w:ilvl w:val="0"/>
                <w:numId w:val="1"/>
              </w:numPr>
              <w:spacing w:after="0"/>
              <w:rPr>
                <w:lang w:eastAsia="en-AU"/>
              </w:rPr>
            </w:pPr>
            <w:r w:rsidRPr="00210765">
              <w:t>Provide constructive performance feedback and develop team skills</w:t>
            </w:r>
            <w:r>
              <w:t xml:space="preserve"> and capability</w:t>
            </w:r>
            <w:r w:rsidRPr="007061A2">
              <w:t>.</w:t>
            </w:r>
          </w:p>
          <w:p w14:paraId="29A5611B" w14:textId="6E382871" w:rsidR="00B7023E" w:rsidRDefault="00B7023E" w:rsidP="00B7023E">
            <w:pPr>
              <w:pStyle w:val="ListBullet"/>
              <w:rPr>
                <w:lang w:eastAsia="en-AU"/>
              </w:rPr>
            </w:pPr>
            <w:r w:rsidRPr="00E604B0">
              <w:t>Encourage participation in meetings and contribution of ideas to improve team, program, service delivery and work performance and outcomes</w:t>
            </w:r>
            <w:r>
              <w:t>.</w:t>
            </w:r>
          </w:p>
        </w:tc>
      </w:tr>
      <w:tr w:rsidR="0002436B" w:rsidRPr="00C978B9" w14:paraId="6EC6447D" w14:textId="77777777" w:rsidTr="00103875">
        <w:trPr>
          <w:cantSplit/>
        </w:trPr>
        <w:tc>
          <w:tcPr>
            <w:tcW w:w="3601" w:type="dxa"/>
          </w:tcPr>
          <w:p w14:paraId="181141C7" w14:textId="3D743B7C" w:rsidR="0002436B" w:rsidRPr="006A70E6" w:rsidRDefault="00596C1A" w:rsidP="00A15CDB">
            <w:pPr>
              <w:pStyle w:val="TableText"/>
              <w:rPr>
                <w:sz w:val="22"/>
                <w:szCs w:val="22"/>
              </w:rPr>
            </w:pPr>
            <w:r w:rsidRPr="006A70E6">
              <w:rPr>
                <w:sz w:val="22"/>
                <w:szCs w:val="22"/>
              </w:rPr>
              <w:t xml:space="preserve">Group Finance </w:t>
            </w:r>
          </w:p>
        </w:tc>
        <w:tc>
          <w:tcPr>
            <w:tcW w:w="6946" w:type="dxa"/>
          </w:tcPr>
          <w:p w14:paraId="69153CB1" w14:textId="57FCEF63" w:rsidR="006A5C6E" w:rsidRDefault="00B7023E" w:rsidP="00641CB8">
            <w:pPr>
              <w:pStyle w:val="ListBullet"/>
              <w:rPr>
                <w:lang w:eastAsia="en-AU"/>
              </w:rPr>
            </w:pPr>
            <w:r w:rsidRPr="00E604B0">
              <w:t>Provide reporting and analytical support as required to ensure agency and cluster level internal and external reporting deliverables are met.</w:t>
            </w:r>
          </w:p>
        </w:tc>
      </w:tr>
      <w:tr w:rsidR="0002436B" w:rsidRPr="00C978B9" w14:paraId="1418EA13" w14:textId="77777777" w:rsidTr="00103875">
        <w:trPr>
          <w:cantSplit/>
        </w:trPr>
        <w:tc>
          <w:tcPr>
            <w:tcW w:w="3601" w:type="dxa"/>
          </w:tcPr>
          <w:p w14:paraId="473E68B8" w14:textId="77777777" w:rsidR="0002436B" w:rsidRPr="00760816" w:rsidRDefault="00596C1A" w:rsidP="00A15CDB">
            <w:pPr>
              <w:pStyle w:val="TableText"/>
              <w:rPr>
                <w:sz w:val="22"/>
                <w:szCs w:val="22"/>
              </w:rPr>
            </w:pPr>
            <w:r w:rsidRPr="00760816">
              <w:rPr>
                <w:sz w:val="22"/>
                <w:szCs w:val="22"/>
              </w:rPr>
              <w:t>Cluster Finance</w:t>
            </w:r>
          </w:p>
        </w:tc>
        <w:tc>
          <w:tcPr>
            <w:tcW w:w="6946" w:type="dxa"/>
          </w:tcPr>
          <w:p w14:paraId="404437AE" w14:textId="738D9FBE" w:rsidR="006A5C6E" w:rsidRDefault="00B7023E" w:rsidP="00641CB8">
            <w:pPr>
              <w:pStyle w:val="ListBullet"/>
              <w:rPr>
                <w:lang w:eastAsia="en-AU"/>
              </w:rPr>
            </w:pPr>
            <w:r w:rsidRPr="00E604B0">
              <w:t>Provide reporting and analytical support as required to ensure agency and cluster level internal and external reporting deliverables are met.</w:t>
            </w:r>
          </w:p>
        </w:tc>
      </w:tr>
      <w:tr w:rsidR="00B7023E" w:rsidRPr="00C978B9" w14:paraId="0FCFF09D" w14:textId="77777777" w:rsidTr="00103875">
        <w:trPr>
          <w:cantSplit/>
        </w:trPr>
        <w:tc>
          <w:tcPr>
            <w:tcW w:w="3601" w:type="dxa"/>
          </w:tcPr>
          <w:p w14:paraId="1968F7C9" w14:textId="62B3ED99" w:rsidR="00B7023E" w:rsidRPr="007061A2" w:rsidRDefault="00B7023E" w:rsidP="00A15CDB">
            <w:pPr>
              <w:pStyle w:val="TableText"/>
            </w:pPr>
            <w:r w:rsidRPr="007061A2">
              <w:rPr>
                <w:sz w:val="22"/>
                <w:szCs w:val="22"/>
              </w:rPr>
              <w:t>Cluster Corporate Services (HR, Procurement, Governance &amp; Performance, etc.)</w:t>
            </w:r>
          </w:p>
        </w:tc>
        <w:tc>
          <w:tcPr>
            <w:tcW w:w="6946" w:type="dxa"/>
          </w:tcPr>
          <w:p w14:paraId="1A8FD084" w14:textId="77777777" w:rsidR="00B7023E" w:rsidRPr="00E604B0" w:rsidRDefault="00B7023E" w:rsidP="00B7023E">
            <w:pPr>
              <w:pStyle w:val="ListBullet"/>
            </w:pPr>
            <w:r w:rsidRPr="00E604B0">
              <w:t>Work collaboratively to ensure Treasury budget, forecasting and reporting requirements consistently and accurately reflect agency internal reporting</w:t>
            </w:r>
            <w:r>
              <w:t>.</w:t>
            </w:r>
          </w:p>
          <w:p w14:paraId="1A3F194B" w14:textId="77777777" w:rsidR="00B7023E" w:rsidRPr="00E604B0" w:rsidRDefault="00B7023E" w:rsidP="00B7023E">
            <w:pPr>
              <w:pStyle w:val="ListBullet"/>
            </w:pPr>
            <w:r w:rsidRPr="00E604B0">
              <w:t>Develop and maintain effective working relationships.</w:t>
            </w:r>
          </w:p>
          <w:p w14:paraId="6AF68EC4" w14:textId="01BA14B6" w:rsidR="00B7023E" w:rsidRDefault="00B7023E" w:rsidP="00B7023E">
            <w:pPr>
              <w:pStyle w:val="ListBullet"/>
            </w:pPr>
            <w:r w:rsidRPr="00E604B0">
              <w:t>Liaise to maintain financial information within business requirements.</w:t>
            </w:r>
          </w:p>
        </w:tc>
      </w:tr>
      <w:bookmarkEnd w:id="3"/>
    </w:tbl>
    <w:p w14:paraId="0D19DAC1" w14:textId="77777777" w:rsidR="006F0A6F" w:rsidRDefault="006F0A6F">
      <w:pPr>
        <w:rPr>
          <w:b/>
          <w:bCs/>
        </w:rPr>
      </w:pPr>
      <w:r>
        <w:rPr>
          <w:b/>
          <w:bCs/>
        </w:rPr>
        <w:br w:type="page"/>
      </w:r>
    </w:p>
    <w:p w14:paraId="1AD8A8E8" w14:textId="03F29A66" w:rsidR="00C34914" w:rsidRDefault="00C34914" w:rsidP="00FB27B0">
      <w:pPr>
        <w:spacing w:before="360"/>
        <w:rPr>
          <w:b/>
          <w:bCs/>
        </w:rPr>
      </w:pPr>
      <w:r>
        <w:rPr>
          <w:b/>
          <w:bCs/>
        </w:rPr>
        <w:lastRenderedPageBreak/>
        <w:t>External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External_Key_RelationshipsTable"/>
      </w:tblPr>
      <w:tblGrid>
        <w:gridCol w:w="3601"/>
        <w:gridCol w:w="6946"/>
      </w:tblGrid>
      <w:tr w:rsidR="00C34914" w:rsidRPr="00C978B9" w14:paraId="011DB347" w14:textId="77777777" w:rsidTr="5273CA07">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04D48322" w14:textId="77777777" w:rsidR="00C34914" w:rsidRPr="00C978B9" w:rsidRDefault="00C34914" w:rsidP="003F4D33">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67B76154" w14:textId="77777777" w:rsidR="00C34914" w:rsidRPr="00C978B9" w:rsidRDefault="00C34914" w:rsidP="003F4D33">
            <w:pPr>
              <w:pStyle w:val="TableTextWhite0"/>
            </w:pPr>
            <w:r w:rsidRPr="00C978B9">
              <w:t>Why</w:t>
            </w:r>
          </w:p>
        </w:tc>
      </w:tr>
      <w:tr w:rsidR="00B0369C" w:rsidRPr="00C978B9" w14:paraId="4F0B836C" w14:textId="77777777" w:rsidTr="5273CA07">
        <w:trPr>
          <w:cantSplit/>
        </w:trPr>
        <w:tc>
          <w:tcPr>
            <w:tcW w:w="3601" w:type="dxa"/>
          </w:tcPr>
          <w:p w14:paraId="2389E28D" w14:textId="040620D6" w:rsidR="00B0369C" w:rsidRPr="00760816" w:rsidRDefault="00B93882" w:rsidP="00801DB7">
            <w:pPr>
              <w:pStyle w:val="TableText"/>
              <w:rPr>
                <w:sz w:val="22"/>
                <w:szCs w:val="22"/>
              </w:rPr>
            </w:pPr>
            <w:r>
              <w:rPr>
                <w:sz w:val="22"/>
                <w:szCs w:val="22"/>
              </w:rPr>
              <w:t>External service providers</w:t>
            </w:r>
          </w:p>
        </w:tc>
        <w:tc>
          <w:tcPr>
            <w:tcW w:w="6946" w:type="dxa"/>
          </w:tcPr>
          <w:p w14:paraId="05679B29" w14:textId="77777777" w:rsidR="00B93882" w:rsidRDefault="00B93882" w:rsidP="00B93882">
            <w:pPr>
              <w:pStyle w:val="ListBullet"/>
            </w:pPr>
            <w:r>
              <w:t>Develop and maintain effective relationships and open channels of</w:t>
            </w:r>
          </w:p>
          <w:p w14:paraId="5CF92FDD" w14:textId="77777777" w:rsidR="00B93882" w:rsidRDefault="00B93882" w:rsidP="00BC5926">
            <w:pPr>
              <w:pStyle w:val="ListBullet"/>
              <w:numPr>
                <w:ilvl w:val="0"/>
                <w:numId w:val="0"/>
              </w:numPr>
              <w:ind w:left="360"/>
            </w:pPr>
            <w:r>
              <w:t>communication</w:t>
            </w:r>
            <w:r w:rsidRPr="00B93882">
              <w:t xml:space="preserve"> </w:t>
            </w:r>
          </w:p>
          <w:p w14:paraId="7BC4FC2F" w14:textId="093F82AC" w:rsidR="00B0369C" w:rsidRDefault="00B93882" w:rsidP="00B93882">
            <w:pPr>
              <w:pStyle w:val="ListBullet"/>
            </w:pPr>
            <w:r>
              <w:t>E</w:t>
            </w:r>
            <w:r w:rsidRPr="00B93882">
              <w:t>stablishing service terms and monitor performance to ensure financial transactional services meet the evolving requirements of PDNSW to deliver financial benefits and improved levels of service and quality</w:t>
            </w:r>
          </w:p>
        </w:tc>
      </w:tr>
      <w:tr w:rsidR="002A70D1" w:rsidRPr="00C978B9" w14:paraId="3721B304" w14:textId="77777777" w:rsidTr="5273CA07">
        <w:trPr>
          <w:cantSplit/>
        </w:trPr>
        <w:tc>
          <w:tcPr>
            <w:tcW w:w="3601" w:type="dxa"/>
          </w:tcPr>
          <w:p w14:paraId="4A89E298" w14:textId="77777777" w:rsidR="00801DB7" w:rsidRPr="00760816" w:rsidRDefault="00801DB7" w:rsidP="00801DB7">
            <w:pPr>
              <w:pStyle w:val="TableText"/>
              <w:rPr>
                <w:sz w:val="22"/>
                <w:szCs w:val="22"/>
              </w:rPr>
            </w:pPr>
            <w:r w:rsidRPr="00760816">
              <w:rPr>
                <w:sz w:val="22"/>
                <w:szCs w:val="22"/>
              </w:rPr>
              <w:t>Key external stakeholders, including</w:t>
            </w:r>
          </w:p>
          <w:p w14:paraId="5901675E" w14:textId="26C6C207" w:rsidR="002A70D1" w:rsidRPr="00760816" w:rsidRDefault="00801DB7" w:rsidP="00801DB7">
            <w:pPr>
              <w:pStyle w:val="TableText"/>
              <w:rPr>
                <w:sz w:val="22"/>
                <w:szCs w:val="22"/>
              </w:rPr>
            </w:pPr>
            <w:r w:rsidRPr="00760816">
              <w:rPr>
                <w:sz w:val="22"/>
                <w:szCs w:val="22"/>
              </w:rPr>
              <w:t>other NSW Agencies</w:t>
            </w:r>
          </w:p>
        </w:tc>
        <w:tc>
          <w:tcPr>
            <w:tcW w:w="6946" w:type="dxa"/>
          </w:tcPr>
          <w:p w14:paraId="298E53F7" w14:textId="77777777" w:rsidR="00536ADF" w:rsidRDefault="00536ADF" w:rsidP="00536ADF">
            <w:pPr>
              <w:pStyle w:val="ListBullet"/>
            </w:pPr>
            <w:r>
              <w:t>Develop and maintain effective relationships and open channels of</w:t>
            </w:r>
          </w:p>
          <w:p w14:paraId="25E757D8" w14:textId="2784E405" w:rsidR="002A70D1" w:rsidRDefault="00536ADF" w:rsidP="00760816">
            <w:pPr>
              <w:pStyle w:val="ListBullet"/>
              <w:numPr>
                <w:ilvl w:val="0"/>
                <w:numId w:val="0"/>
              </w:numPr>
              <w:ind w:left="360"/>
            </w:pPr>
            <w:r>
              <w:t xml:space="preserve">communication to foster liaison, </w:t>
            </w:r>
            <w:r w:rsidR="000C6C41">
              <w:t>collaboration</w:t>
            </w:r>
            <w:r>
              <w:t xml:space="preserve"> and engagement</w:t>
            </w:r>
          </w:p>
        </w:tc>
      </w:tr>
      <w:tr w:rsidR="00C34914" w:rsidRPr="00C978B9" w14:paraId="35BE81F0" w14:textId="77777777" w:rsidTr="5273CA07">
        <w:trPr>
          <w:cantSplit/>
        </w:trPr>
        <w:tc>
          <w:tcPr>
            <w:tcW w:w="3601" w:type="dxa"/>
          </w:tcPr>
          <w:p w14:paraId="6B736383" w14:textId="77777777" w:rsidR="00C34914" w:rsidRPr="00760816" w:rsidRDefault="00596C1A" w:rsidP="003F4D33">
            <w:pPr>
              <w:pStyle w:val="TableText"/>
              <w:rPr>
                <w:sz w:val="22"/>
                <w:szCs w:val="22"/>
              </w:rPr>
            </w:pPr>
            <w:bookmarkStart w:id="4" w:name="ExternalRelationships"/>
            <w:r w:rsidRPr="00760816">
              <w:rPr>
                <w:sz w:val="22"/>
                <w:szCs w:val="22"/>
              </w:rPr>
              <w:t>NSW Treasury</w:t>
            </w:r>
          </w:p>
        </w:tc>
        <w:tc>
          <w:tcPr>
            <w:tcW w:w="6946" w:type="dxa"/>
          </w:tcPr>
          <w:p w14:paraId="1831BE98" w14:textId="77777777" w:rsidR="000C6C41" w:rsidRDefault="000C6C41" w:rsidP="000C6C41">
            <w:pPr>
              <w:pStyle w:val="ListBullet"/>
            </w:pPr>
            <w:r>
              <w:t>Develop and maintain effective relationships and open channels of</w:t>
            </w:r>
          </w:p>
          <w:p w14:paraId="44BD85B0" w14:textId="3694B1AA" w:rsidR="006A5C6E" w:rsidRDefault="000C6C41" w:rsidP="000C6C41">
            <w:pPr>
              <w:pStyle w:val="ListBullet"/>
              <w:numPr>
                <w:ilvl w:val="0"/>
                <w:numId w:val="0"/>
              </w:numPr>
              <w:ind w:left="360"/>
              <w:rPr>
                <w:lang w:eastAsia="en-AU"/>
              </w:rPr>
            </w:pPr>
            <w:r>
              <w:t xml:space="preserve">communication to foster liaison, collaboration and engagement </w:t>
            </w:r>
            <w:r w:rsidR="000F1F30">
              <w:t>and ensure compliance with Treasury directions and statutory auditing and reporting requirements</w:t>
            </w:r>
          </w:p>
        </w:tc>
      </w:tr>
      <w:tr w:rsidR="00C34914" w:rsidRPr="00C978B9" w14:paraId="7029718F" w14:textId="77777777" w:rsidTr="5273CA07">
        <w:trPr>
          <w:cantSplit/>
        </w:trPr>
        <w:tc>
          <w:tcPr>
            <w:tcW w:w="3601" w:type="dxa"/>
          </w:tcPr>
          <w:p w14:paraId="688B9539" w14:textId="77777777" w:rsidR="00C34914" w:rsidRPr="00760816" w:rsidRDefault="00596C1A" w:rsidP="003F4D33">
            <w:pPr>
              <w:pStyle w:val="TableText"/>
              <w:rPr>
                <w:sz w:val="22"/>
                <w:szCs w:val="22"/>
              </w:rPr>
            </w:pPr>
            <w:r w:rsidRPr="00760816">
              <w:rPr>
                <w:sz w:val="22"/>
                <w:szCs w:val="22"/>
              </w:rPr>
              <w:t>NSW Audit Office</w:t>
            </w:r>
          </w:p>
        </w:tc>
        <w:tc>
          <w:tcPr>
            <w:tcW w:w="6946" w:type="dxa"/>
          </w:tcPr>
          <w:p w14:paraId="55B482F2" w14:textId="77777777" w:rsidR="000C6C41" w:rsidRDefault="000C6C41" w:rsidP="000C6C41">
            <w:pPr>
              <w:pStyle w:val="ListBullet"/>
            </w:pPr>
            <w:r>
              <w:t>Develop and maintain effective relationships and open channels of</w:t>
            </w:r>
          </w:p>
          <w:p w14:paraId="4DE89F05" w14:textId="0F0241A2" w:rsidR="006A5C6E" w:rsidRDefault="000C6C41" w:rsidP="000C6C41">
            <w:pPr>
              <w:pStyle w:val="ListBullet"/>
              <w:numPr>
                <w:ilvl w:val="0"/>
                <w:numId w:val="0"/>
              </w:numPr>
              <w:ind w:left="360"/>
              <w:rPr>
                <w:lang w:eastAsia="en-AU"/>
              </w:rPr>
            </w:pPr>
            <w:r>
              <w:t>communication to foster liaison, collaboration and engagement and ensure c</w:t>
            </w:r>
            <w:r w:rsidR="000F1F30">
              <w:t xml:space="preserve">ompliance with </w:t>
            </w:r>
            <w:r w:rsidR="0F540653">
              <w:t xml:space="preserve">statutory </w:t>
            </w:r>
            <w:r w:rsidR="3642D58A">
              <w:t xml:space="preserve">reporting </w:t>
            </w:r>
            <w:r w:rsidR="3E7DC821">
              <w:t>requirements</w:t>
            </w:r>
            <w:r>
              <w:t xml:space="preserve">, </w:t>
            </w:r>
            <w:r w:rsidR="1AADFD2D">
              <w:t>Treasury mandates</w:t>
            </w:r>
            <w:r>
              <w:t>,</w:t>
            </w:r>
            <w:r w:rsidR="479E0858">
              <w:t xml:space="preserve"> Australian Accounting Standards</w:t>
            </w:r>
            <w:r w:rsidR="286A7428">
              <w:t xml:space="preserve"> and</w:t>
            </w:r>
            <w:r w:rsidR="479E0858">
              <w:t xml:space="preserve"> </w:t>
            </w:r>
            <w:r w:rsidR="1AADFD2D">
              <w:t>financial policies</w:t>
            </w:r>
            <w:r w:rsidR="286A7428">
              <w:t xml:space="preserve">. </w:t>
            </w:r>
          </w:p>
        </w:tc>
      </w:tr>
    </w:tbl>
    <w:bookmarkEnd w:id="4"/>
    <w:p w14:paraId="00F666A0" w14:textId="77777777" w:rsidR="00057CB3" w:rsidRPr="00C978B9" w:rsidRDefault="0002436B" w:rsidP="000C453F">
      <w:pPr>
        <w:pStyle w:val="Heading2"/>
      </w:pPr>
      <w:r w:rsidRPr="00C978B9">
        <w:t xml:space="preserve">Role </w:t>
      </w:r>
      <w:r w:rsidR="00043B92">
        <w:t>d</w:t>
      </w:r>
      <w:r w:rsidRPr="00C978B9">
        <w:t>imensions</w:t>
      </w:r>
    </w:p>
    <w:p w14:paraId="07CBBC5B" w14:textId="77777777" w:rsidR="0002436B" w:rsidRDefault="001D133A" w:rsidP="000C453F">
      <w:pPr>
        <w:pStyle w:val="Heading3"/>
      </w:pPr>
      <w:r w:rsidRPr="00C978B9">
        <w:t>Decision making</w:t>
      </w:r>
    </w:p>
    <w:p w14:paraId="2020CBE4" w14:textId="77777777" w:rsidR="00B93882" w:rsidRDefault="00A55204" w:rsidP="007F20D5">
      <w:bookmarkStart w:id="5" w:name="_Hlk17372642"/>
      <w:r>
        <w:t>The role</w:t>
      </w:r>
      <w:r w:rsidR="00B93882">
        <w:t>:</w:t>
      </w:r>
    </w:p>
    <w:p w14:paraId="6254DDB8" w14:textId="7F5CECBF" w:rsidR="00B93882" w:rsidRPr="00B93882" w:rsidRDefault="00A55204" w:rsidP="000C6C41">
      <w:pPr>
        <w:pStyle w:val="ListParagraph"/>
        <w:numPr>
          <w:ilvl w:val="0"/>
          <w:numId w:val="51"/>
        </w:numPr>
        <w:ind w:left="567" w:hanging="567"/>
        <w:rPr>
          <w:rFonts w:cs="Arial"/>
          <w:szCs w:val="22"/>
        </w:rPr>
      </w:pPr>
      <w:r>
        <w:t xml:space="preserve">is responsible for delivering the objectives of approved business plans and strategies </w:t>
      </w:r>
    </w:p>
    <w:p w14:paraId="3985F6C7" w14:textId="16C5888D" w:rsidR="00B93882" w:rsidRPr="00B93882" w:rsidRDefault="00A55204" w:rsidP="000C6C41">
      <w:pPr>
        <w:pStyle w:val="ListParagraph"/>
        <w:numPr>
          <w:ilvl w:val="0"/>
          <w:numId w:val="51"/>
        </w:numPr>
        <w:ind w:left="567" w:hanging="567"/>
        <w:rPr>
          <w:rFonts w:cs="Arial"/>
          <w:szCs w:val="22"/>
        </w:rPr>
      </w:pPr>
      <w:r>
        <w:t xml:space="preserve">has authority to resolve </w:t>
      </w:r>
      <w:r w:rsidR="00572A75">
        <w:t xml:space="preserve">finance </w:t>
      </w:r>
      <w:r>
        <w:t>issues relating to the</w:t>
      </w:r>
      <w:r w:rsidR="00572A75">
        <w:t xml:space="preserve"> Group’s</w:t>
      </w:r>
      <w:r>
        <w:t xml:space="preserve"> portfolio and </w:t>
      </w:r>
      <w:r w:rsidR="000C6C41">
        <w:t>the</w:t>
      </w:r>
      <w:r>
        <w:t xml:space="preserve"> activities </w:t>
      </w:r>
      <w:r w:rsidR="000C6C41">
        <w:t xml:space="preserve">therein </w:t>
      </w:r>
      <w:r>
        <w:t>and makes day</w:t>
      </w:r>
      <w:r w:rsidR="000C6C41">
        <w:t>-</w:t>
      </w:r>
      <w:r>
        <w:t>to</w:t>
      </w:r>
      <w:r w:rsidR="000C6C41">
        <w:t>-</w:t>
      </w:r>
      <w:r>
        <w:t xml:space="preserve">day decisions in relation to high level aspects of </w:t>
      </w:r>
      <w:r w:rsidR="006F0A6F">
        <w:t xml:space="preserve">the Group’s </w:t>
      </w:r>
      <w:r>
        <w:t>financial and business performance in association with the Deputy Secretary</w:t>
      </w:r>
      <w:r w:rsidR="00572A75">
        <w:t xml:space="preserve"> and CEO’s and like roles for entities therein</w:t>
      </w:r>
    </w:p>
    <w:p w14:paraId="6ACC81AD" w14:textId="2EA5EB0E" w:rsidR="00B93882" w:rsidRPr="00B93882" w:rsidRDefault="007F20D5" w:rsidP="000C6C41">
      <w:pPr>
        <w:pStyle w:val="ListParagraph"/>
        <w:numPr>
          <w:ilvl w:val="0"/>
          <w:numId w:val="51"/>
        </w:numPr>
        <w:ind w:left="567" w:hanging="567"/>
        <w:rPr>
          <w:rFonts w:cs="Arial"/>
          <w:szCs w:val="22"/>
        </w:rPr>
      </w:pPr>
      <w:r>
        <w:t xml:space="preserve">is </w:t>
      </w:r>
      <w:r w:rsidR="000C6C41">
        <w:t>re</w:t>
      </w:r>
      <w:r>
        <w:t>sponsible for the certification of all financial statements</w:t>
      </w:r>
      <w:r w:rsidR="000C6C41">
        <w:t xml:space="preserve">, ensuring they </w:t>
      </w:r>
      <w:r>
        <w:t>are</w:t>
      </w:r>
      <w:r w:rsidR="000C6C41">
        <w:t xml:space="preserve"> </w:t>
      </w:r>
      <w:r>
        <w:t xml:space="preserve">true and fair </w:t>
      </w:r>
      <w:r w:rsidR="000C6C41">
        <w:t xml:space="preserve">to enable their independent review by the </w:t>
      </w:r>
      <w:r>
        <w:t>Audit and Risk Committee</w:t>
      </w:r>
      <w:r w:rsidR="000C6C41">
        <w:t xml:space="preserve">, </w:t>
      </w:r>
      <w:r>
        <w:t>Secretary and external</w:t>
      </w:r>
      <w:r w:rsidR="000C6C41">
        <w:t xml:space="preserve"> publication, and</w:t>
      </w:r>
    </w:p>
    <w:p w14:paraId="2E059354" w14:textId="7E23738C" w:rsidR="00BD7587" w:rsidRPr="00B93882" w:rsidRDefault="00B93882" w:rsidP="000C6C41">
      <w:pPr>
        <w:pStyle w:val="ListParagraph"/>
        <w:numPr>
          <w:ilvl w:val="0"/>
          <w:numId w:val="51"/>
        </w:numPr>
        <w:ind w:left="567" w:hanging="567"/>
        <w:rPr>
          <w:rFonts w:cs="Arial"/>
          <w:szCs w:val="22"/>
        </w:rPr>
      </w:pPr>
      <w:r>
        <w:t>is accountable for</w:t>
      </w:r>
      <w:r w:rsidR="007F20D5">
        <w:t xml:space="preserve"> ensuring all financial reports are </w:t>
      </w:r>
      <w:r w:rsidR="000C6C41">
        <w:t>produced with reliance</w:t>
      </w:r>
      <w:r w:rsidR="007F20D5">
        <w:t xml:space="preserve"> on </w:t>
      </w:r>
      <w:r w:rsidR="000C6C41">
        <w:t>effective</w:t>
      </w:r>
      <w:r w:rsidR="007F20D5">
        <w:t xml:space="preserve"> accounting systems and appropriate internal controls to ensure the integrity and accuracy of financial information </w:t>
      </w:r>
      <w:r w:rsidR="000C6C41">
        <w:t>produced for</w:t>
      </w:r>
      <w:r w:rsidR="007F20D5">
        <w:t xml:space="preserve"> </w:t>
      </w:r>
      <w:r w:rsidR="00572A75">
        <w:t>individual entities within the Group</w:t>
      </w:r>
      <w:r w:rsidR="007F20D5">
        <w:t>.</w:t>
      </w:r>
    </w:p>
    <w:bookmarkEnd w:id="5"/>
    <w:p w14:paraId="26F1B933" w14:textId="77777777" w:rsidR="001D133A" w:rsidRDefault="001D133A" w:rsidP="000C453F">
      <w:pPr>
        <w:pStyle w:val="Heading3"/>
      </w:pPr>
      <w:r w:rsidRPr="00C978B9">
        <w:t>Reporting line</w:t>
      </w:r>
    </w:p>
    <w:p w14:paraId="225A93C9" w14:textId="48EFE847" w:rsidR="00E91D2A" w:rsidRDefault="00A55204" w:rsidP="001D133A">
      <w:r>
        <w:t>Deputy Secretary</w:t>
      </w:r>
      <w:r w:rsidR="00572A75">
        <w:t>, HPD</w:t>
      </w:r>
    </w:p>
    <w:p w14:paraId="07E45556" w14:textId="77777777" w:rsidR="001D133A" w:rsidRDefault="001D133A" w:rsidP="000C453F">
      <w:pPr>
        <w:pStyle w:val="Heading3"/>
      </w:pPr>
      <w:r w:rsidRPr="00C978B9">
        <w:t>Direct reports</w:t>
      </w:r>
    </w:p>
    <w:p w14:paraId="5DAA6EC3" w14:textId="41605F63" w:rsidR="001D133A" w:rsidRPr="00C978B9" w:rsidRDefault="00C96A4D" w:rsidP="001D133A">
      <w:r>
        <w:t>To be confirmed</w:t>
      </w:r>
      <w:r w:rsidR="006F0A6F">
        <w:t>.</w:t>
      </w:r>
    </w:p>
    <w:p w14:paraId="3CAD34E2" w14:textId="38DF61AC" w:rsidR="00FD0369" w:rsidRDefault="001D133A" w:rsidP="00FD0369">
      <w:pPr>
        <w:pStyle w:val="Heading3"/>
      </w:pPr>
      <w:r w:rsidRPr="00C978B9">
        <w:t>Budget/Expenditure</w:t>
      </w:r>
    </w:p>
    <w:p w14:paraId="1F4900A0" w14:textId="7F964402" w:rsidR="00FD0369" w:rsidRPr="00FD0369" w:rsidRDefault="00FD0369" w:rsidP="00F672A0">
      <w:r>
        <w:t>The CFO provides support to the Deputy Secretary in management of financial initiatives and activities for an overall expenditure budget in excess of $500 million per annum.</w:t>
      </w:r>
    </w:p>
    <w:p w14:paraId="60BF8002" w14:textId="77777777" w:rsidR="001D133A" w:rsidRDefault="001D133A" w:rsidP="000C453F">
      <w:pPr>
        <w:pStyle w:val="Heading2"/>
      </w:pPr>
      <w:r w:rsidRPr="00C978B9">
        <w:t>Essential requir</w:t>
      </w:r>
      <w:r w:rsidR="00E31CD3" w:rsidRPr="00C978B9">
        <w:t>e</w:t>
      </w:r>
      <w:r w:rsidRPr="00C978B9">
        <w:t>ments</w:t>
      </w:r>
    </w:p>
    <w:p w14:paraId="2D9EAAEA" w14:textId="65589658" w:rsidR="006A5C6E" w:rsidRDefault="00B93882" w:rsidP="005A4002">
      <w:pPr>
        <w:pStyle w:val="ListParagraph"/>
        <w:numPr>
          <w:ilvl w:val="0"/>
          <w:numId w:val="51"/>
        </w:numPr>
        <w:ind w:left="567" w:hanging="567"/>
      </w:pPr>
      <w:r>
        <w:t>Relevant</w:t>
      </w:r>
      <w:r w:rsidR="000F1F30">
        <w:t xml:space="preserve"> business or accounting qualifications and membership of a professional accounting organisation such as </w:t>
      </w:r>
      <w:r w:rsidR="006F0A6F">
        <w:t>Certified Practicing Accountant or Chartered Accountant</w:t>
      </w:r>
      <w:r w:rsidR="000F1F30">
        <w:t xml:space="preserve"> or equivalent</w:t>
      </w:r>
      <w:r w:rsidR="00434A1D">
        <w:t>.</w:t>
      </w:r>
    </w:p>
    <w:p w14:paraId="3B0F92D9" w14:textId="128CAAF4" w:rsidR="006A5C6E" w:rsidRDefault="000F1F30" w:rsidP="005A4002">
      <w:pPr>
        <w:pStyle w:val="ListParagraph"/>
        <w:numPr>
          <w:ilvl w:val="0"/>
          <w:numId w:val="51"/>
        </w:numPr>
        <w:ind w:left="567" w:hanging="567"/>
      </w:pPr>
      <w:r>
        <w:t xml:space="preserve">Extensive experience in financial management at a senior level </w:t>
      </w:r>
      <w:r w:rsidR="006F0A6F">
        <w:t xml:space="preserve">in either government or the private sector successfully leading a finance team with responsibility for </w:t>
      </w:r>
      <w:r w:rsidR="00AB61E3">
        <w:t>property and lease accounting</w:t>
      </w:r>
      <w:r w:rsidR="00434A1D">
        <w:t>.</w:t>
      </w:r>
    </w:p>
    <w:p w14:paraId="0134F032" w14:textId="4A2A8B9E" w:rsidR="006A5C6E" w:rsidRPr="007061A2" w:rsidRDefault="000F1F30">
      <w:pPr>
        <w:pStyle w:val="ListParagraph"/>
        <w:numPr>
          <w:ilvl w:val="0"/>
          <w:numId w:val="51"/>
        </w:numPr>
        <w:ind w:left="567" w:hanging="567"/>
      </w:pPr>
      <w:r>
        <w:lastRenderedPageBreak/>
        <w:t>Extensive experience in providing high</w:t>
      </w:r>
      <w:r w:rsidR="005A4002">
        <w:t>-</w:t>
      </w:r>
      <w:r>
        <w:t>level commercial or financial advice in relation to property matters, including conducting discounted cash flow analyses and financial modellin</w:t>
      </w:r>
      <w:r w:rsidR="00434A1D">
        <w:t xml:space="preserve">g. </w:t>
      </w:r>
    </w:p>
    <w:p w14:paraId="66EF6D7A" w14:textId="5D3B1B11" w:rsidR="009E0B71" w:rsidRPr="00C978B9" w:rsidRDefault="009E0B71" w:rsidP="000C453F">
      <w:pPr>
        <w:pStyle w:val="Heading2"/>
      </w:pPr>
      <w:bookmarkStart w:id="6" w:name="_Hlk36203683"/>
      <w:bookmarkStart w:id="7" w:name="_Hlk36565316"/>
      <w:bookmarkStart w:id="8" w:name="_Hlk36209343"/>
      <w:bookmarkStart w:id="9" w:name="_Hlk36710441"/>
      <w:r w:rsidRPr="00C978B9">
        <w:t>Cap</w:t>
      </w:r>
      <w:r w:rsidR="00434A1D">
        <w:t>a</w:t>
      </w:r>
      <w:r w:rsidRPr="00C978B9">
        <w:t>bilities for the role</w:t>
      </w:r>
    </w:p>
    <w:p w14:paraId="0A47CDD2" w14:textId="77777777" w:rsidR="009E0B71" w:rsidRPr="00175AAF" w:rsidRDefault="009E0B71" w:rsidP="009E0B71">
      <w:r>
        <w:t xml:space="preserve">The </w:t>
      </w:r>
      <w:hyperlink r:id="rId13" w:history="1">
        <w:r w:rsidRPr="61233093">
          <w:rPr>
            <w:rStyle w:val="Hyperlink"/>
            <w:sz w:val="22"/>
            <w:szCs w:val="22"/>
          </w:rPr>
          <w:t>NSW public sector capability framework</w:t>
        </w:r>
      </w:hyperlink>
      <w: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7FAFB0D3" w14:textId="77777777" w:rsidR="003E0111" w:rsidRPr="003C7A36" w:rsidRDefault="009E0B71" w:rsidP="00E97E4E">
      <w:r w:rsidRPr="003E0111">
        <w:t>The capabilities are separated into focus capabilities and complementary capabilities</w:t>
      </w:r>
    </w:p>
    <w:p w14:paraId="121F900E" w14:textId="77777777" w:rsidR="009E0B71" w:rsidRPr="00C978B9" w:rsidRDefault="009E0B71" w:rsidP="000C453F">
      <w:pPr>
        <w:pStyle w:val="Heading2"/>
      </w:pPr>
      <w:r>
        <w:t>Focus capabilities</w:t>
      </w:r>
      <w:r>
        <w:tab/>
      </w:r>
    </w:p>
    <w:p w14:paraId="5FE6373C" w14:textId="77777777" w:rsidR="009E0B71" w:rsidRDefault="009E0B71" w:rsidP="009E0B71">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0594AFAC" w14:textId="35C17960" w:rsidR="006706A2" w:rsidRDefault="009E0B71" w:rsidP="007061A2">
      <w:pPr>
        <w:pStyle w:val="PlainText"/>
        <w:spacing w:before="62" w:line="276" w:lineRule="auto"/>
        <w:rPr>
          <w:rFonts w:cs="Arial"/>
          <w:sz w:val="26"/>
          <w:szCs w:val="28"/>
        </w:rPr>
      </w:pPr>
      <w:r w:rsidRPr="004D15E4">
        <w:rPr>
          <w:rFonts w:eastAsiaTheme="minorEastAsia"/>
          <w:szCs w:val="22"/>
          <w:lang w:val="en-US"/>
        </w:rPr>
        <w:t>The focus capabilities for this role are shown below with a brief explanation of what each capability covers and the indicators describing the types of behaviours</w:t>
      </w:r>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7DF28B02" w14:textId="05CF87AD" w:rsidR="00C34914" w:rsidRDefault="00C34914" w:rsidP="00C34914">
      <w:pPr>
        <w:pStyle w:val="Heading2"/>
      </w:pPr>
      <w:r w:rsidRPr="00C978B9">
        <w:t xml:space="preserve">Focus </w:t>
      </w:r>
      <w:r>
        <w:t>c</w:t>
      </w:r>
      <w:r w:rsidRPr="00C978B9">
        <w:t>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372FE9" w:rsidRPr="003C7A36" w14:paraId="746D6DD7"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385" w:type="dxa"/>
            <w:shd w:val="clear" w:color="auto" w:fill="BFBFBF" w:themeFill="background1" w:themeFillShade="BF"/>
            <w:vAlign w:val="center"/>
          </w:tcPr>
          <w:p w14:paraId="5CCBD299" w14:textId="77777777" w:rsidR="00372FE9" w:rsidRPr="003C7A36" w:rsidRDefault="00372FE9" w:rsidP="00372FE9">
            <w:pPr>
              <w:rPr>
                <w:sz w:val="20"/>
              </w:rPr>
            </w:pPr>
            <w:r w:rsidRPr="003C7A36">
              <w:rPr>
                <w:b/>
                <w:sz w:val="20"/>
              </w:rPr>
              <w:t>Capability group/sets</w:t>
            </w:r>
          </w:p>
        </w:tc>
        <w:tc>
          <w:tcPr>
            <w:tcW w:w="2726" w:type="dxa"/>
            <w:shd w:val="clear" w:color="auto" w:fill="BFBFBF" w:themeFill="background1" w:themeFillShade="BF"/>
          </w:tcPr>
          <w:p w14:paraId="125B0FA0" w14:textId="77777777" w:rsidR="00372FE9" w:rsidRPr="003C7A36" w:rsidRDefault="00372FE9" w:rsidP="00372FE9">
            <w:pPr>
              <w:rPr>
                <w:sz w:val="20"/>
              </w:rPr>
            </w:pPr>
            <w:r w:rsidRPr="003C7A36">
              <w:rPr>
                <w:b/>
                <w:sz w:val="20"/>
              </w:rPr>
              <w:t>Capability name</w:t>
            </w:r>
          </w:p>
        </w:tc>
        <w:tc>
          <w:tcPr>
            <w:tcW w:w="4709" w:type="dxa"/>
            <w:shd w:val="clear" w:color="auto" w:fill="BFBFBF" w:themeFill="background1" w:themeFillShade="BF"/>
          </w:tcPr>
          <w:p w14:paraId="4A733102" w14:textId="77777777" w:rsidR="00372FE9" w:rsidRPr="003C7A36" w:rsidRDefault="00372FE9" w:rsidP="00372FE9">
            <w:pPr>
              <w:rPr>
                <w:sz w:val="20"/>
              </w:rPr>
            </w:pPr>
            <w:r w:rsidRPr="003C7A36">
              <w:rPr>
                <w:b/>
                <w:sz w:val="20"/>
              </w:rPr>
              <w:t>Behavioural indicators</w:t>
            </w:r>
          </w:p>
        </w:tc>
        <w:tc>
          <w:tcPr>
            <w:tcW w:w="1668" w:type="dxa"/>
            <w:shd w:val="clear" w:color="auto" w:fill="BFBFBF" w:themeFill="background1" w:themeFillShade="BF"/>
          </w:tcPr>
          <w:p w14:paraId="402C094C" w14:textId="77777777" w:rsidR="00372FE9" w:rsidRPr="00372FE9" w:rsidRDefault="00372FE9" w:rsidP="00372FE9">
            <w:pPr>
              <w:rPr>
                <w:b/>
                <w:bCs/>
                <w:sz w:val="20"/>
              </w:rPr>
            </w:pPr>
            <w:r w:rsidRPr="00372FE9">
              <w:rPr>
                <w:b/>
                <w:bCs/>
                <w:sz w:val="20"/>
              </w:rPr>
              <w:t>Level</w:t>
            </w:r>
          </w:p>
        </w:tc>
      </w:tr>
      <w:tr w:rsidR="006F0836" w:rsidRPr="003C7A36" w14:paraId="35E01DFC" w14:textId="77777777" w:rsidTr="004C659E">
        <w:trPr>
          <w:cantSplit/>
        </w:trPr>
        <w:tc>
          <w:tcPr>
            <w:tcW w:w="1385" w:type="dxa"/>
          </w:tcPr>
          <w:p w14:paraId="251BCB04"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4A4CB79F" wp14:editId="7C2D3AE1">
                  <wp:extent cx="749300" cy="749300"/>
                  <wp:effectExtent l="0" t="0" r="0" b="0"/>
                  <wp:docPr id="8861" name="personal-attributes.jpg" descr="personal-attribute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648204F" w14:textId="77777777" w:rsidR="00667FCB" w:rsidRDefault="006F0836" w:rsidP="004A1A64">
            <w:pPr>
              <w:rPr>
                <w:rFonts w:cs="Arial"/>
                <w:color w:val="000000"/>
                <w:sz w:val="20"/>
              </w:rPr>
            </w:pPr>
            <w:r w:rsidRPr="003C7A36">
              <w:rPr>
                <w:rFonts w:cs="Arial"/>
                <w:b/>
                <w:bCs/>
                <w:color w:val="000000"/>
                <w:sz w:val="20"/>
              </w:rPr>
              <w:t>Act with Integrity</w:t>
            </w:r>
          </w:p>
          <w:p w14:paraId="080C57F6" w14:textId="77777777" w:rsidR="006F0836" w:rsidRPr="00667FCB" w:rsidRDefault="006F0836" w:rsidP="004A1A64">
            <w:pPr>
              <w:rPr>
                <w:rFonts w:cs="Arial"/>
                <w:color w:val="000000"/>
                <w:sz w:val="20"/>
              </w:rPr>
            </w:pPr>
            <w:r w:rsidRPr="003C7A36">
              <w:rPr>
                <w:rFonts w:cs="Arial"/>
                <w:color w:val="000000"/>
                <w:sz w:val="20"/>
              </w:rPr>
              <w:t>Be ethical and professional, and uphold and promote the public sector values</w:t>
            </w:r>
          </w:p>
        </w:tc>
        <w:tc>
          <w:tcPr>
            <w:tcW w:w="4709" w:type="dxa"/>
          </w:tcPr>
          <w:p w14:paraId="5C972300" w14:textId="77777777" w:rsidR="006F0836" w:rsidRPr="003C7A36" w:rsidRDefault="006F0836" w:rsidP="00A55204">
            <w:pPr>
              <w:pStyle w:val="TableBullet"/>
            </w:pPr>
            <w:r w:rsidRPr="003C7A36">
              <w:t>Model the highest standards of ethical and professional behaviour and reinforce their use</w:t>
            </w:r>
          </w:p>
          <w:p w14:paraId="2D269E67" w14:textId="77777777" w:rsidR="006F0836" w:rsidRPr="003C7A36" w:rsidRDefault="006F0836" w:rsidP="00A55204">
            <w:pPr>
              <w:pStyle w:val="TableBullet"/>
            </w:pPr>
            <w:r w:rsidRPr="003C7A36">
              <w:t>Represent the organisation in an honest, ethical and professional way and set an example for others to follow</w:t>
            </w:r>
          </w:p>
          <w:p w14:paraId="3D97A25F" w14:textId="77777777" w:rsidR="006F0836" w:rsidRPr="003C7A36" w:rsidRDefault="006F0836" w:rsidP="00A55204">
            <w:pPr>
              <w:pStyle w:val="TableBullet"/>
            </w:pPr>
            <w:r w:rsidRPr="003C7A36">
              <w:t>Promote a culture of integrity and professionalism within the organisation and in dealings external to government</w:t>
            </w:r>
          </w:p>
          <w:p w14:paraId="7D3CDEE4" w14:textId="77777777" w:rsidR="006F0836" w:rsidRPr="003C7A36" w:rsidRDefault="006F0836" w:rsidP="00A55204">
            <w:pPr>
              <w:pStyle w:val="TableBullet"/>
            </w:pPr>
            <w:r w:rsidRPr="003C7A36">
              <w:t>Monitor ethical practices, standards and systems and reinforce their use</w:t>
            </w:r>
          </w:p>
          <w:p w14:paraId="233FBC81" w14:textId="77777777" w:rsidR="006F0836" w:rsidRPr="003C7A36" w:rsidRDefault="006F0836" w:rsidP="00A55204">
            <w:pPr>
              <w:pStyle w:val="TableBullet"/>
            </w:pPr>
            <w:r w:rsidRPr="003C7A36">
              <w:t>Act promptly on reported breaches of legislation, policies and guidelines</w:t>
            </w:r>
          </w:p>
        </w:tc>
        <w:tc>
          <w:tcPr>
            <w:tcW w:w="1668" w:type="dxa"/>
          </w:tcPr>
          <w:p w14:paraId="5F2F5516" w14:textId="77777777" w:rsidR="006F0836" w:rsidRPr="006F0836" w:rsidRDefault="004C659E" w:rsidP="00544127">
            <w:pPr>
              <w:pStyle w:val="TableText"/>
            </w:pPr>
            <w:r w:rsidRPr="004C659E">
              <w:t>Advanced</w:t>
            </w:r>
          </w:p>
        </w:tc>
      </w:tr>
      <w:tr w:rsidR="006F0836" w:rsidRPr="003C7A36" w14:paraId="6572AA5B" w14:textId="77777777" w:rsidTr="004C659E">
        <w:trPr>
          <w:cantSplit/>
        </w:trPr>
        <w:tc>
          <w:tcPr>
            <w:tcW w:w="1385" w:type="dxa"/>
          </w:tcPr>
          <w:p w14:paraId="71EB2316"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6E38CE0F" wp14:editId="14460D43">
                  <wp:extent cx="749300" cy="749300"/>
                  <wp:effectExtent l="0" t="0" r="0" b="0"/>
                  <wp:docPr id="7226" name="personal-attributes.jpg" descr="relationship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4ADFB53" w14:textId="77777777" w:rsidR="00667FCB" w:rsidRDefault="006F0836" w:rsidP="004A1A64">
            <w:pPr>
              <w:rPr>
                <w:rFonts w:cs="Arial"/>
                <w:color w:val="000000"/>
                <w:sz w:val="20"/>
              </w:rPr>
            </w:pPr>
            <w:r w:rsidRPr="003C7A36">
              <w:rPr>
                <w:rFonts w:cs="Arial"/>
                <w:b/>
                <w:bCs/>
                <w:color w:val="000000"/>
                <w:sz w:val="20"/>
              </w:rPr>
              <w:t>Communicate Effectively</w:t>
            </w:r>
          </w:p>
          <w:p w14:paraId="018F9492" w14:textId="77777777" w:rsidR="006F0836" w:rsidRPr="00667FCB" w:rsidRDefault="006F0836" w:rsidP="004A1A64">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7C434A5A" w14:textId="77777777" w:rsidR="006F0836" w:rsidRPr="003C7A36" w:rsidRDefault="006F0836" w:rsidP="00A55204">
            <w:pPr>
              <w:pStyle w:val="TableBullet"/>
            </w:pPr>
            <w:r w:rsidRPr="003C7A36">
              <w:t>Present with credibility, engage diverse audiences and test levels of understanding</w:t>
            </w:r>
          </w:p>
          <w:p w14:paraId="3C884A12" w14:textId="77777777" w:rsidR="006F0836" w:rsidRPr="003C7A36" w:rsidRDefault="006F0836" w:rsidP="00A55204">
            <w:pPr>
              <w:pStyle w:val="TableBullet"/>
            </w:pPr>
            <w:r w:rsidRPr="003C7A36">
              <w:t>Translate technical and complex information clearly and concisely for diverse audiences</w:t>
            </w:r>
          </w:p>
          <w:p w14:paraId="538E5ECB" w14:textId="77777777" w:rsidR="006F0836" w:rsidRPr="003C7A36" w:rsidRDefault="006F0836" w:rsidP="00A55204">
            <w:pPr>
              <w:pStyle w:val="TableBullet"/>
            </w:pPr>
            <w:r w:rsidRPr="003C7A36">
              <w:t>Create opportunities for others to contribute to discussion and debate</w:t>
            </w:r>
          </w:p>
          <w:p w14:paraId="17D76BD0" w14:textId="77777777" w:rsidR="006F0836" w:rsidRPr="003C7A36" w:rsidRDefault="006F0836" w:rsidP="00A55204">
            <w:pPr>
              <w:pStyle w:val="TableBullet"/>
            </w:pPr>
            <w:r w:rsidRPr="003C7A36">
              <w:t>Contribute to and promote information sharing across the organisation</w:t>
            </w:r>
          </w:p>
          <w:p w14:paraId="3E4FCAC7" w14:textId="77777777" w:rsidR="006F0836" w:rsidRPr="003C7A36" w:rsidRDefault="006F0836" w:rsidP="00A55204">
            <w:pPr>
              <w:pStyle w:val="TableBullet"/>
            </w:pPr>
            <w:r w:rsidRPr="003C7A36">
              <w:t>Manage complex communications that involve understanding and responding to multiple and divergent viewpoints</w:t>
            </w:r>
          </w:p>
          <w:p w14:paraId="16230152" w14:textId="77777777" w:rsidR="006F0836" w:rsidRPr="003C7A36" w:rsidRDefault="006F0836" w:rsidP="00A55204">
            <w:pPr>
              <w:pStyle w:val="TableBullet"/>
            </w:pPr>
            <w:r w:rsidRPr="003C7A36">
              <w:t>Explore creative ways to engage diverse audiences and communicate information</w:t>
            </w:r>
          </w:p>
          <w:p w14:paraId="57F67623" w14:textId="77777777" w:rsidR="006F0836" w:rsidRPr="003C7A36" w:rsidRDefault="006F0836" w:rsidP="00A55204">
            <w:pPr>
              <w:pStyle w:val="TableBullet"/>
            </w:pPr>
            <w:r w:rsidRPr="003C7A36">
              <w:t>Adjust style and approach to optimise outcomes</w:t>
            </w:r>
          </w:p>
          <w:p w14:paraId="251F0445" w14:textId="77777777" w:rsidR="006F0836" w:rsidRPr="003C7A36" w:rsidRDefault="006F0836" w:rsidP="00A55204">
            <w:pPr>
              <w:pStyle w:val="TableBullet"/>
            </w:pPr>
            <w:r w:rsidRPr="003C7A36">
              <w:t>Write fluently and persuasively in plain English and in a range of styles and formats</w:t>
            </w:r>
          </w:p>
        </w:tc>
        <w:tc>
          <w:tcPr>
            <w:tcW w:w="1668" w:type="dxa"/>
          </w:tcPr>
          <w:p w14:paraId="31F37F98" w14:textId="77777777" w:rsidR="006F0836" w:rsidRPr="006F0836" w:rsidRDefault="004C659E" w:rsidP="00544127">
            <w:pPr>
              <w:pStyle w:val="TableText"/>
            </w:pPr>
            <w:r w:rsidRPr="004C659E">
              <w:t>Advanced</w:t>
            </w:r>
          </w:p>
        </w:tc>
      </w:tr>
      <w:tr w:rsidR="006F0836" w:rsidRPr="003C7A36" w14:paraId="1364FA40" w14:textId="77777777" w:rsidTr="004C659E">
        <w:trPr>
          <w:cantSplit/>
        </w:trPr>
        <w:tc>
          <w:tcPr>
            <w:tcW w:w="1385" w:type="dxa"/>
          </w:tcPr>
          <w:p w14:paraId="7AFE517A"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5E7787E6" wp14:editId="2AA5641D">
                  <wp:extent cx="749300" cy="749300"/>
                  <wp:effectExtent l="0" t="0" r="0" b="0"/>
                  <wp:docPr id="821" name="personal-attributes.jpg" descr="relationship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988AF28" w14:textId="77777777" w:rsidR="00667FCB" w:rsidRDefault="006F0836" w:rsidP="004A1A64">
            <w:pPr>
              <w:rPr>
                <w:rFonts w:cs="Arial"/>
                <w:color w:val="000000"/>
                <w:sz w:val="20"/>
              </w:rPr>
            </w:pPr>
            <w:r w:rsidRPr="003C7A36">
              <w:rPr>
                <w:rFonts w:cs="Arial"/>
                <w:b/>
                <w:bCs/>
                <w:color w:val="000000"/>
                <w:sz w:val="20"/>
              </w:rPr>
              <w:t>Influence and Negotiate</w:t>
            </w:r>
          </w:p>
          <w:p w14:paraId="5BB4527E" w14:textId="77777777" w:rsidR="006F0836" w:rsidRPr="00667FCB" w:rsidRDefault="006F0836" w:rsidP="004A1A64">
            <w:pPr>
              <w:rPr>
                <w:rFonts w:cs="Arial"/>
                <w:color w:val="000000"/>
                <w:sz w:val="20"/>
              </w:rPr>
            </w:pPr>
            <w:r w:rsidRPr="003C7A36">
              <w:rPr>
                <w:rFonts w:cs="Arial"/>
                <w:color w:val="000000"/>
                <w:sz w:val="20"/>
              </w:rPr>
              <w:t>Gain consensus and commitment from others, and resolve issues and conflicts</w:t>
            </w:r>
          </w:p>
        </w:tc>
        <w:tc>
          <w:tcPr>
            <w:tcW w:w="4709" w:type="dxa"/>
          </w:tcPr>
          <w:p w14:paraId="2FCD981F" w14:textId="77777777" w:rsidR="006F0836" w:rsidRPr="003C7A36" w:rsidRDefault="006F0836" w:rsidP="00A55204">
            <w:pPr>
              <w:pStyle w:val="TableBullet"/>
            </w:pPr>
            <w:r w:rsidRPr="003C7A36">
              <w:t>Influence others with a fair and considered approach and present persuasive counter-arguments</w:t>
            </w:r>
          </w:p>
          <w:p w14:paraId="7D51A9C3" w14:textId="77777777" w:rsidR="006F0836" w:rsidRPr="003C7A36" w:rsidRDefault="006F0836" w:rsidP="00A55204">
            <w:pPr>
              <w:pStyle w:val="TableBullet"/>
            </w:pPr>
            <w:r w:rsidRPr="003C7A36">
              <w:t>Work towards mutually beneficial ‘win-win’ outcomes</w:t>
            </w:r>
          </w:p>
          <w:p w14:paraId="40EA8923" w14:textId="77777777" w:rsidR="006F0836" w:rsidRPr="003C7A36" w:rsidRDefault="006F0836" w:rsidP="00A55204">
            <w:pPr>
              <w:pStyle w:val="TableBullet"/>
            </w:pPr>
            <w:r w:rsidRPr="003C7A36">
              <w:t>Show sensitivity and understanding in resolving acute and complex conflicts and differences</w:t>
            </w:r>
          </w:p>
          <w:p w14:paraId="009BE1C1" w14:textId="77777777" w:rsidR="006F0836" w:rsidRPr="003C7A36" w:rsidRDefault="006F0836" w:rsidP="00A55204">
            <w:pPr>
              <w:pStyle w:val="TableBullet"/>
            </w:pPr>
            <w:r w:rsidRPr="003C7A36">
              <w:t>Identify key stakeholders and gain their support in advance</w:t>
            </w:r>
          </w:p>
          <w:p w14:paraId="77305B03" w14:textId="77777777" w:rsidR="006F0836" w:rsidRPr="003C7A36" w:rsidRDefault="006F0836" w:rsidP="00A55204">
            <w:pPr>
              <w:pStyle w:val="TableBullet"/>
            </w:pPr>
            <w:r w:rsidRPr="003C7A36">
              <w:t>Establish a clear negotiation position based on research, a firm grasp of key issues, likely arguments, points of difference and areas for compromise</w:t>
            </w:r>
          </w:p>
          <w:p w14:paraId="1520813F" w14:textId="77777777" w:rsidR="006F0836" w:rsidRPr="003C7A36" w:rsidRDefault="006F0836" w:rsidP="00A55204">
            <w:pPr>
              <w:pStyle w:val="TableBullet"/>
            </w:pPr>
            <w:r w:rsidRPr="003C7A36">
              <w:t>Anticipate and minimise conflict within the organisation and with external stakeholders</w:t>
            </w:r>
          </w:p>
        </w:tc>
        <w:tc>
          <w:tcPr>
            <w:tcW w:w="1668" w:type="dxa"/>
          </w:tcPr>
          <w:p w14:paraId="1B0B1658" w14:textId="77777777" w:rsidR="006F0836" w:rsidRPr="006F0836" w:rsidRDefault="004C659E" w:rsidP="00544127">
            <w:pPr>
              <w:pStyle w:val="TableText"/>
            </w:pPr>
            <w:r w:rsidRPr="004C659E">
              <w:t>Advanced</w:t>
            </w:r>
          </w:p>
        </w:tc>
      </w:tr>
      <w:tr w:rsidR="006F0836" w:rsidRPr="003C7A36" w14:paraId="3C43CF60" w14:textId="77777777" w:rsidTr="004C659E">
        <w:trPr>
          <w:cantSplit/>
        </w:trPr>
        <w:tc>
          <w:tcPr>
            <w:tcW w:w="1385" w:type="dxa"/>
          </w:tcPr>
          <w:p w14:paraId="23E11948"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25FE730B" wp14:editId="2D9043EA">
                  <wp:extent cx="749300" cy="749300"/>
                  <wp:effectExtent l="0" t="0" r="0" b="0"/>
                  <wp:docPr id="4405" name="personal-attributes.jpg" descr="result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D93A332" w14:textId="77777777" w:rsidR="00667FCB" w:rsidRDefault="006F0836" w:rsidP="004A1A64">
            <w:pPr>
              <w:rPr>
                <w:rFonts w:cs="Arial"/>
                <w:color w:val="000000"/>
                <w:sz w:val="20"/>
              </w:rPr>
            </w:pPr>
            <w:r w:rsidRPr="003C7A36">
              <w:rPr>
                <w:rFonts w:cs="Arial"/>
                <w:b/>
                <w:bCs/>
                <w:color w:val="000000"/>
                <w:sz w:val="20"/>
              </w:rPr>
              <w:t>Deliver Results</w:t>
            </w:r>
          </w:p>
          <w:p w14:paraId="73E865F1" w14:textId="77777777" w:rsidR="006F0836" w:rsidRPr="00667FCB" w:rsidRDefault="006F0836" w:rsidP="004A1A64">
            <w:pPr>
              <w:rPr>
                <w:rFonts w:cs="Arial"/>
                <w:color w:val="000000"/>
                <w:sz w:val="20"/>
              </w:rPr>
            </w:pPr>
            <w:r w:rsidRPr="003C7A36">
              <w:rPr>
                <w:rFonts w:cs="Arial"/>
                <w:color w:val="000000"/>
                <w:sz w:val="20"/>
              </w:rPr>
              <w:t>Achieve results through the efficient use of resources and a commitment to quality outcomes</w:t>
            </w:r>
          </w:p>
        </w:tc>
        <w:tc>
          <w:tcPr>
            <w:tcW w:w="4709" w:type="dxa"/>
          </w:tcPr>
          <w:p w14:paraId="359BB1E8" w14:textId="77777777" w:rsidR="006F0836" w:rsidRPr="003C7A36" w:rsidRDefault="006F0836" w:rsidP="00A55204">
            <w:pPr>
              <w:pStyle w:val="TableBullet"/>
            </w:pPr>
            <w:r w:rsidRPr="003C7A36">
              <w:t>Seek and apply the expertise of key individuals to achieve organisational outcomes</w:t>
            </w:r>
          </w:p>
          <w:p w14:paraId="3104E5BA" w14:textId="77777777" w:rsidR="006F0836" w:rsidRPr="003C7A36" w:rsidRDefault="006F0836" w:rsidP="00A55204">
            <w:pPr>
              <w:pStyle w:val="TableBullet"/>
            </w:pPr>
            <w:r w:rsidRPr="003C7A36">
              <w:t>Drive a culture of achievement and acknowledge input from others</w:t>
            </w:r>
          </w:p>
          <w:p w14:paraId="23EDDF3F" w14:textId="77777777" w:rsidR="006F0836" w:rsidRPr="003C7A36" w:rsidRDefault="006F0836" w:rsidP="00A55204">
            <w:pPr>
              <w:pStyle w:val="TableBullet"/>
            </w:pPr>
            <w:r w:rsidRPr="003C7A36">
              <w:t>Determine how outcomes will be measured and guide others on evaluation methods</w:t>
            </w:r>
          </w:p>
          <w:p w14:paraId="779A4315" w14:textId="77777777" w:rsidR="006F0836" w:rsidRPr="003C7A36" w:rsidRDefault="006F0836" w:rsidP="00A55204">
            <w:pPr>
              <w:pStyle w:val="TableBullet"/>
            </w:pPr>
            <w:r w:rsidRPr="003C7A36">
              <w:t>Investigate and create opportunities to enhance the achievement of organisational objectives</w:t>
            </w:r>
          </w:p>
          <w:p w14:paraId="740C7C9B" w14:textId="77777777" w:rsidR="006F0836" w:rsidRPr="003C7A36" w:rsidRDefault="006F0836" w:rsidP="00A55204">
            <w:pPr>
              <w:pStyle w:val="TableBullet"/>
            </w:pPr>
            <w:r w:rsidRPr="003C7A36">
              <w:t>Make sure others understand that on-time and on-budget results are required and how overall success is defined</w:t>
            </w:r>
          </w:p>
          <w:p w14:paraId="1E152971" w14:textId="77777777" w:rsidR="006F0836" w:rsidRPr="003C7A36" w:rsidRDefault="006F0836" w:rsidP="00A55204">
            <w:pPr>
              <w:pStyle w:val="TableBullet"/>
            </w:pPr>
            <w:r w:rsidRPr="003C7A36">
              <w:t>Control business unit output to ensure government outcomes are achieved within budgets</w:t>
            </w:r>
          </w:p>
          <w:p w14:paraId="2CE39384" w14:textId="77777777" w:rsidR="006F0836" w:rsidRPr="003C7A36" w:rsidRDefault="006F0836" w:rsidP="00A55204">
            <w:pPr>
              <w:pStyle w:val="TableBullet"/>
            </w:pPr>
            <w:r w:rsidRPr="003C7A36">
              <w:t>Progress organisational priorities and ensure that resources are acquired and used effectively</w:t>
            </w:r>
          </w:p>
        </w:tc>
        <w:tc>
          <w:tcPr>
            <w:tcW w:w="1668" w:type="dxa"/>
          </w:tcPr>
          <w:p w14:paraId="319F0306" w14:textId="77777777" w:rsidR="006F0836" w:rsidRPr="006F0836" w:rsidRDefault="004C659E" w:rsidP="00544127">
            <w:pPr>
              <w:pStyle w:val="TableText"/>
            </w:pPr>
            <w:r w:rsidRPr="004C659E">
              <w:t>Advanced</w:t>
            </w:r>
          </w:p>
        </w:tc>
      </w:tr>
      <w:tr w:rsidR="006F0836" w:rsidRPr="003C7A36" w14:paraId="00000FB7" w14:textId="77777777" w:rsidTr="004C659E">
        <w:trPr>
          <w:cantSplit/>
        </w:trPr>
        <w:tc>
          <w:tcPr>
            <w:tcW w:w="1385" w:type="dxa"/>
          </w:tcPr>
          <w:p w14:paraId="107779AF"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128A3676" wp14:editId="5B580729">
                  <wp:extent cx="749300" cy="749300"/>
                  <wp:effectExtent l="0" t="0" r="0" b="0"/>
                  <wp:docPr id="2771" name="personal-attributes.jpg" descr="result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283DFF3" w14:textId="77777777" w:rsidR="00667FCB" w:rsidRDefault="006F0836" w:rsidP="004A1A64">
            <w:pPr>
              <w:rPr>
                <w:rFonts w:cs="Arial"/>
                <w:color w:val="000000"/>
                <w:sz w:val="20"/>
              </w:rPr>
            </w:pPr>
            <w:r w:rsidRPr="003C7A36">
              <w:rPr>
                <w:rFonts w:cs="Arial"/>
                <w:b/>
                <w:bCs/>
                <w:color w:val="000000"/>
                <w:sz w:val="20"/>
              </w:rPr>
              <w:t>Plan and Prioritise</w:t>
            </w:r>
          </w:p>
          <w:p w14:paraId="28336204" w14:textId="77777777" w:rsidR="006F0836" w:rsidRPr="00667FCB" w:rsidRDefault="006F0836" w:rsidP="004A1A64">
            <w:pPr>
              <w:rPr>
                <w:rFonts w:cs="Arial"/>
                <w:color w:val="000000"/>
                <w:sz w:val="20"/>
              </w:rPr>
            </w:pPr>
            <w:r w:rsidRPr="003C7A36">
              <w:rPr>
                <w:rFonts w:cs="Arial"/>
                <w:color w:val="000000"/>
                <w:sz w:val="20"/>
              </w:rPr>
              <w:t>Plan to achieve priority outcomes and respond flexibly to changing circumstances</w:t>
            </w:r>
          </w:p>
        </w:tc>
        <w:tc>
          <w:tcPr>
            <w:tcW w:w="4709" w:type="dxa"/>
          </w:tcPr>
          <w:p w14:paraId="56440D24" w14:textId="77777777" w:rsidR="006F0836" w:rsidRPr="003C7A36" w:rsidRDefault="006F0836" w:rsidP="00A55204">
            <w:pPr>
              <w:pStyle w:val="TableBullet"/>
            </w:pPr>
            <w:r w:rsidRPr="003C7A36">
              <w:t>Understand the links between the business unit, organisation and the whole-of-government agenda</w:t>
            </w:r>
          </w:p>
          <w:p w14:paraId="0BB9082E" w14:textId="77777777" w:rsidR="006F0836" w:rsidRPr="003C7A36" w:rsidRDefault="006F0836" w:rsidP="00A55204">
            <w:pPr>
              <w:pStyle w:val="TableBullet"/>
            </w:pPr>
            <w:r w:rsidRPr="003C7A36">
              <w:t>Ensure business plan goals are clear and appropriate and include contingency provisions</w:t>
            </w:r>
          </w:p>
          <w:p w14:paraId="547B87FA" w14:textId="77777777" w:rsidR="006F0836" w:rsidRPr="003C7A36" w:rsidRDefault="006F0836" w:rsidP="00A55204">
            <w:pPr>
              <w:pStyle w:val="TableBullet"/>
            </w:pPr>
            <w:r w:rsidRPr="003C7A36">
              <w:t>Monitor the progress of initiatives and make necessary adjustments</w:t>
            </w:r>
          </w:p>
          <w:p w14:paraId="221C75A9" w14:textId="77777777" w:rsidR="006F0836" w:rsidRPr="003C7A36" w:rsidRDefault="006F0836" w:rsidP="00A55204">
            <w:pPr>
              <w:pStyle w:val="TableBullet"/>
            </w:pPr>
            <w:r w:rsidRPr="003C7A36">
              <w:t>Anticipate and assess the impact of changes, including government policy and economic conditions, on business plans and initiatives and respond appropriately</w:t>
            </w:r>
          </w:p>
          <w:p w14:paraId="38DAA731" w14:textId="77777777" w:rsidR="006F0836" w:rsidRPr="003C7A36" w:rsidRDefault="006F0836" w:rsidP="00A55204">
            <w:pPr>
              <w:pStyle w:val="TableBullet"/>
            </w:pPr>
            <w:r w:rsidRPr="003C7A36">
              <w:t>Consider the implications of a wide range of complex issues and shift business priorities when necessary</w:t>
            </w:r>
          </w:p>
          <w:p w14:paraId="374CD1A0" w14:textId="77777777" w:rsidR="006F0836" w:rsidRPr="003C7A36" w:rsidRDefault="006F0836" w:rsidP="00A55204">
            <w:pPr>
              <w:pStyle w:val="TableBullet"/>
            </w:pPr>
            <w:r w:rsidRPr="003C7A36">
              <w:t>Undertake planning to help the organisation transition through change initiatives, and evaluate progress and outcomes to inform future planning</w:t>
            </w:r>
          </w:p>
        </w:tc>
        <w:tc>
          <w:tcPr>
            <w:tcW w:w="1668" w:type="dxa"/>
          </w:tcPr>
          <w:p w14:paraId="1912C443" w14:textId="77777777" w:rsidR="006F0836" w:rsidRPr="006F0836" w:rsidRDefault="004C659E" w:rsidP="00544127">
            <w:pPr>
              <w:pStyle w:val="TableText"/>
            </w:pPr>
            <w:r w:rsidRPr="004C659E">
              <w:t>Advanced</w:t>
            </w:r>
          </w:p>
        </w:tc>
      </w:tr>
      <w:tr w:rsidR="006F0836" w:rsidRPr="003C7A36" w14:paraId="5A003807" w14:textId="77777777" w:rsidTr="004C659E">
        <w:trPr>
          <w:cantSplit/>
        </w:trPr>
        <w:tc>
          <w:tcPr>
            <w:tcW w:w="1385" w:type="dxa"/>
          </w:tcPr>
          <w:p w14:paraId="1D679D00"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5B1795DF" wp14:editId="32DD6E05">
                  <wp:extent cx="749300" cy="749300"/>
                  <wp:effectExtent l="0" t="0" r="0" b="0"/>
                  <wp:docPr id="6355" name="personal-attributes.jpg" descr="business-enabler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AFEC159" w14:textId="77777777" w:rsidR="00667FCB" w:rsidRDefault="006F0836" w:rsidP="004A1A64">
            <w:pPr>
              <w:rPr>
                <w:rFonts w:cs="Arial"/>
                <w:color w:val="000000"/>
                <w:sz w:val="20"/>
              </w:rPr>
            </w:pPr>
            <w:r w:rsidRPr="003C7A36">
              <w:rPr>
                <w:rFonts w:cs="Arial"/>
                <w:b/>
                <w:bCs/>
                <w:color w:val="000000"/>
                <w:sz w:val="20"/>
              </w:rPr>
              <w:t>Finance</w:t>
            </w:r>
          </w:p>
          <w:p w14:paraId="0A4C4B60" w14:textId="77777777" w:rsidR="006F0836" w:rsidRPr="00667FCB" w:rsidRDefault="006F0836" w:rsidP="004A1A64">
            <w:pPr>
              <w:rPr>
                <w:rFonts w:cs="Arial"/>
                <w:color w:val="000000"/>
                <w:sz w:val="20"/>
              </w:rPr>
            </w:pPr>
            <w:r w:rsidRPr="003C7A36">
              <w:rPr>
                <w:rFonts w:cs="Arial"/>
                <w:color w:val="000000"/>
                <w:sz w:val="20"/>
              </w:rPr>
              <w:t>Understand and apply financial processes to achieve value for money and minimise financial risk</w:t>
            </w:r>
          </w:p>
        </w:tc>
        <w:tc>
          <w:tcPr>
            <w:tcW w:w="4709" w:type="dxa"/>
          </w:tcPr>
          <w:p w14:paraId="2BF465C3" w14:textId="77777777" w:rsidR="006F0836" w:rsidRPr="003C7A36" w:rsidRDefault="006F0836" w:rsidP="00A55204">
            <w:pPr>
              <w:pStyle w:val="TableBullet"/>
            </w:pPr>
            <w:r w:rsidRPr="003C7A36">
              <w:t>Advocate for committed outcomes to be considered in decision making for project prioritisation and resourcing decisions</w:t>
            </w:r>
          </w:p>
          <w:p w14:paraId="59F0B30B" w14:textId="77777777" w:rsidR="006F0836" w:rsidRPr="003C7A36" w:rsidRDefault="006F0836" w:rsidP="00A55204">
            <w:pPr>
              <w:pStyle w:val="TableBullet"/>
            </w:pPr>
            <w:r w:rsidRPr="003C7A36">
              <w:t>Define organisational directions and set priorities and business plans, referring to key financial indicators and non-financial committed outcomes</w:t>
            </w:r>
          </w:p>
          <w:p w14:paraId="02119899" w14:textId="77777777" w:rsidR="006F0836" w:rsidRPr="003C7A36" w:rsidRDefault="006F0836" w:rsidP="00A55204">
            <w:pPr>
              <w:pStyle w:val="TableBullet"/>
            </w:pPr>
            <w:r w:rsidRPr="003C7A36">
              <w:t>Anticipate operational and capital needs, and identify the most appropriate financing and funding strategies to meet them</w:t>
            </w:r>
          </w:p>
          <w:p w14:paraId="7817D2C3" w14:textId="77777777" w:rsidR="006F0836" w:rsidRPr="003C7A36" w:rsidRDefault="006F0836" w:rsidP="00A55204">
            <w:pPr>
              <w:pStyle w:val="TableBullet"/>
            </w:pPr>
            <w:r w:rsidRPr="003C7A36">
              <w:t>Ensure that the organisation informs strategic decisions with appropriate advice from finance and risk professionals</w:t>
            </w:r>
          </w:p>
          <w:p w14:paraId="44FD70FD" w14:textId="77777777" w:rsidR="006F0836" w:rsidRPr="003C7A36" w:rsidRDefault="006F0836" w:rsidP="00A55204">
            <w:pPr>
              <w:pStyle w:val="TableBullet"/>
            </w:pPr>
            <w:r w:rsidRPr="003C7A36">
              <w:t>Establish effective governance to ensure that financial resources are used ethically and prudently across the organisation</w:t>
            </w:r>
          </w:p>
        </w:tc>
        <w:tc>
          <w:tcPr>
            <w:tcW w:w="1668" w:type="dxa"/>
          </w:tcPr>
          <w:p w14:paraId="49E464EA" w14:textId="77777777" w:rsidR="006F0836" w:rsidRPr="006F0836" w:rsidRDefault="004C659E" w:rsidP="00544127">
            <w:pPr>
              <w:pStyle w:val="TableText"/>
            </w:pPr>
            <w:r w:rsidRPr="004C659E">
              <w:t>Highly Advanced</w:t>
            </w:r>
          </w:p>
        </w:tc>
      </w:tr>
      <w:tr w:rsidR="006F0836" w:rsidRPr="003C7A36" w14:paraId="4837C5D3" w14:textId="77777777" w:rsidTr="004C659E">
        <w:trPr>
          <w:cantSplit/>
        </w:trPr>
        <w:tc>
          <w:tcPr>
            <w:tcW w:w="1385" w:type="dxa"/>
          </w:tcPr>
          <w:p w14:paraId="55724846"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73D27FC5" wp14:editId="6D7C8D1E">
                  <wp:extent cx="749300" cy="749300"/>
                  <wp:effectExtent l="0" t="0" r="0" b="0"/>
                  <wp:docPr id="9940" name="personal-attributes.jpg" descr="business-enabler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C4B7634" w14:textId="77777777" w:rsidR="00667FCB" w:rsidRDefault="006F0836" w:rsidP="004A1A64">
            <w:pPr>
              <w:rPr>
                <w:rFonts w:cs="Arial"/>
                <w:color w:val="000000"/>
                <w:sz w:val="20"/>
              </w:rPr>
            </w:pPr>
            <w:r w:rsidRPr="003C7A36">
              <w:rPr>
                <w:rFonts w:cs="Arial"/>
                <w:b/>
                <w:bCs/>
                <w:color w:val="000000"/>
                <w:sz w:val="20"/>
              </w:rPr>
              <w:t>Project Management</w:t>
            </w:r>
          </w:p>
          <w:p w14:paraId="16027B64" w14:textId="77777777" w:rsidR="006F0836" w:rsidRPr="00667FCB" w:rsidRDefault="006F0836" w:rsidP="004A1A64">
            <w:pPr>
              <w:rPr>
                <w:rFonts w:cs="Arial"/>
                <w:color w:val="000000"/>
                <w:sz w:val="20"/>
              </w:rPr>
            </w:pPr>
            <w:r w:rsidRPr="003C7A36">
              <w:rPr>
                <w:rFonts w:cs="Arial"/>
                <w:color w:val="000000"/>
                <w:sz w:val="20"/>
              </w:rPr>
              <w:t>Understand and apply effective planning, coordination and control methods</w:t>
            </w:r>
          </w:p>
        </w:tc>
        <w:tc>
          <w:tcPr>
            <w:tcW w:w="4709" w:type="dxa"/>
          </w:tcPr>
          <w:p w14:paraId="78445E47" w14:textId="77777777" w:rsidR="006F0836" w:rsidRPr="003C7A36" w:rsidRDefault="006F0836" w:rsidP="00A55204">
            <w:pPr>
              <w:pStyle w:val="TableBullet"/>
            </w:pPr>
            <w:r w:rsidRPr="003C7A36">
              <w:t>Prepare and review project scope and business cases for projects with multiple interdependencies</w:t>
            </w:r>
          </w:p>
          <w:p w14:paraId="71E1B769" w14:textId="77777777" w:rsidR="006F0836" w:rsidRPr="003C7A36" w:rsidRDefault="006F0836" w:rsidP="00A55204">
            <w:pPr>
              <w:pStyle w:val="TableBullet"/>
            </w:pPr>
            <w:r w:rsidRPr="003C7A36">
              <w:t>Access key subject-matter experts’ knowledge to inform project plans and directions</w:t>
            </w:r>
          </w:p>
          <w:p w14:paraId="7B462D74" w14:textId="77777777" w:rsidR="006F0836" w:rsidRPr="003C7A36" w:rsidRDefault="006F0836" w:rsidP="00A55204">
            <w:pPr>
              <w:pStyle w:val="TableBullet"/>
            </w:pPr>
            <w:r w:rsidRPr="003C7A36">
              <w:t>Design and implement effective stakeholder engagement and communications strategies for all project stages</w:t>
            </w:r>
          </w:p>
          <w:p w14:paraId="4E4AB426" w14:textId="77777777" w:rsidR="006F0836" w:rsidRPr="003C7A36" w:rsidRDefault="006F0836" w:rsidP="00A55204">
            <w:pPr>
              <w:pStyle w:val="TableBullet"/>
            </w:pPr>
            <w:r w:rsidRPr="003C7A36">
              <w:t>Monitor project completion and implement effective and rigorous project evaluation methodologies to inform future planning</w:t>
            </w:r>
          </w:p>
          <w:p w14:paraId="22EDFD22" w14:textId="77777777" w:rsidR="006F0836" w:rsidRPr="003C7A36" w:rsidRDefault="006F0836" w:rsidP="00A55204">
            <w:pPr>
              <w:pStyle w:val="TableBullet"/>
            </w:pPr>
            <w:r w:rsidRPr="003C7A36">
              <w:t>Develop effective strategies to remedy variances from project plans and minimise impact</w:t>
            </w:r>
          </w:p>
          <w:p w14:paraId="1F14C756" w14:textId="77777777" w:rsidR="006F0836" w:rsidRPr="003C7A36" w:rsidRDefault="006F0836" w:rsidP="00A55204">
            <w:pPr>
              <w:pStyle w:val="TableBullet"/>
            </w:pPr>
            <w:r w:rsidRPr="003C7A36">
              <w:t>Manage transitions between project stages and ensure that changes are consistent with organisational goals</w:t>
            </w:r>
          </w:p>
          <w:p w14:paraId="7B2FFABE" w14:textId="77777777" w:rsidR="006F0836" w:rsidRPr="003C7A36" w:rsidRDefault="006F0836" w:rsidP="00A55204">
            <w:pPr>
              <w:pStyle w:val="TableBullet"/>
            </w:pPr>
            <w:r w:rsidRPr="003C7A36">
              <w:t>Participate in governance processes such as project steering groups</w:t>
            </w:r>
          </w:p>
        </w:tc>
        <w:tc>
          <w:tcPr>
            <w:tcW w:w="1668" w:type="dxa"/>
          </w:tcPr>
          <w:p w14:paraId="7AB33651" w14:textId="77777777" w:rsidR="006F0836" w:rsidRPr="006F0836" w:rsidRDefault="004C659E" w:rsidP="00544127">
            <w:pPr>
              <w:pStyle w:val="TableText"/>
            </w:pPr>
            <w:r w:rsidRPr="004C659E">
              <w:t>Advanced</w:t>
            </w:r>
          </w:p>
        </w:tc>
      </w:tr>
      <w:tr w:rsidR="006F0836" w:rsidRPr="003C7A36" w14:paraId="29146DB8" w14:textId="77777777" w:rsidTr="004C659E">
        <w:trPr>
          <w:cantSplit/>
        </w:trPr>
        <w:tc>
          <w:tcPr>
            <w:tcW w:w="1385" w:type="dxa"/>
          </w:tcPr>
          <w:p w14:paraId="1EAD07FF"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5E3EAF1C" wp14:editId="25D09EB7">
                  <wp:extent cx="749300" cy="749300"/>
                  <wp:effectExtent l="0" t="0" r="0" b="0"/>
                  <wp:docPr id="8305" name="personal-attributes.jpg" descr="people-management">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F187B07" w14:textId="77777777" w:rsidR="00667FCB" w:rsidRDefault="006F0836" w:rsidP="004A1A64">
            <w:pPr>
              <w:rPr>
                <w:rFonts w:cs="Arial"/>
                <w:color w:val="000000"/>
                <w:sz w:val="20"/>
              </w:rPr>
            </w:pPr>
            <w:r w:rsidRPr="003C7A36">
              <w:rPr>
                <w:rFonts w:cs="Arial"/>
                <w:b/>
                <w:bCs/>
                <w:color w:val="000000"/>
                <w:sz w:val="20"/>
              </w:rPr>
              <w:t>Manage and Develop People</w:t>
            </w:r>
          </w:p>
          <w:p w14:paraId="1934C0FE" w14:textId="77777777" w:rsidR="006F0836" w:rsidRPr="00667FCB" w:rsidRDefault="006F0836" w:rsidP="004A1A64">
            <w:pPr>
              <w:rPr>
                <w:rFonts w:cs="Arial"/>
                <w:color w:val="000000"/>
                <w:sz w:val="20"/>
              </w:rPr>
            </w:pPr>
            <w:r w:rsidRPr="003C7A36">
              <w:rPr>
                <w:rFonts w:cs="Arial"/>
                <w:color w:val="000000"/>
                <w:sz w:val="20"/>
              </w:rPr>
              <w:t>Engage and motivate staff, and develop capability and potential in others</w:t>
            </w:r>
          </w:p>
        </w:tc>
        <w:tc>
          <w:tcPr>
            <w:tcW w:w="4709" w:type="dxa"/>
          </w:tcPr>
          <w:p w14:paraId="17DC9715" w14:textId="77777777" w:rsidR="006F0836" w:rsidRPr="003C7A36" w:rsidRDefault="006F0836" w:rsidP="00A55204">
            <w:pPr>
              <w:pStyle w:val="TableBullet"/>
            </w:pPr>
            <w:r w:rsidRPr="003C7A36">
              <w:t>Refine roles and responsibilities over time to achieve better business outcomes</w:t>
            </w:r>
          </w:p>
          <w:p w14:paraId="049CCD0F" w14:textId="77777777" w:rsidR="006F0836" w:rsidRPr="003C7A36" w:rsidRDefault="006F0836" w:rsidP="00A55204">
            <w:pPr>
              <w:pStyle w:val="TableBullet"/>
            </w:pPr>
            <w:r w:rsidRPr="003C7A36">
              <w:t>Recognise talent, develop team capability and undertake succession planning</w:t>
            </w:r>
          </w:p>
          <w:p w14:paraId="0E73766B" w14:textId="77777777" w:rsidR="006F0836" w:rsidRPr="003C7A36" w:rsidRDefault="006F0836" w:rsidP="00A55204">
            <w:pPr>
              <w:pStyle w:val="TableBullet"/>
            </w:pPr>
            <w:r w:rsidRPr="003C7A36">
              <w:t>Coach and mentor staff and encourage professional development and continuous learning</w:t>
            </w:r>
          </w:p>
          <w:p w14:paraId="7E92A2A9" w14:textId="77777777" w:rsidR="006F0836" w:rsidRPr="003C7A36" w:rsidRDefault="006F0836" w:rsidP="00A55204">
            <w:pPr>
              <w:pStyle w:val="TableBullet"/>
            </w:pPr>
            <w:r w:rsidRPr="003C7A36">
              <w:t>Prioritise addressing and resolving team and individual performance issues and ensure that this approach is cascaded throughout the organisation</w:t>
            </w:r>
          </w:p>
          <w:p w14:paraId="5A772BA6" w14:textId="77777777" w:rsidR="006F0836" w:rsidRPr="003C7A36" w:rsidRDefault="006F0836" w:rsidP="00A55204">
            <w:pPr>
              <w:pStyle w:val="TableBullet"/>
            </w:pPr>
            <w:r w:rsidRPr="003C7A36">
              <w:t>Implement performance development frameworks to align workforce capability with the organisation’s current and future priorities and objectives</w:t>
            </w:r>
          </w:p>
        </w:tc>
        <w:tc>
          <w:tcPr>
            <w:tcW w:w="1668" w:type="dxa"/>
          </w:tcPr>
          <w:p w14:paraId="28D25BB1" w14:textId="77777777" w:rsidR="006F0836" w:rsidRPr="006F0836" w:rsidRDefault="004C659E" w:rsidP="00544127">
            <w:pPr>
              <w:pStyle w:val="TableText"/>
            </w:pPr>
            <w:r w:rsidRPr="004C659E">
              <w:t>Advanced</w:t>
            </w:r>
          </w:p>
        </w:tc>
      </w:tr>
      <w:tr w:rsidR="006F0836" w:rsidRPr="003C7A36" w14:paraId="5B51CC38" w14:textId="77777777" w:rsidTr="004C659E">
        <w:trPr>
          <w:cantSplit/>
        </w:trPr>
        <w:tc>
          <w:tcPr>
            <w:tcW w:w="1385" w:type="dxa"/>
          </w:tcPr>
          <w:p w14:paraId="0FC1EC36"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4F658847" wp14:editId="0529F5AC">
                  <wp:extent cx="749300" cy="749300"/>
                  <wp:effectExtent l="0" t="0" r="0" b="0"/>
                  <wp:docPr id="1900" name="personal-attributes.jpg" descr="people-management">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D8F8838" w14:textId="77777777" w:rsidR="00667FCB" w:rsidRDefault="006F0836" w:rsidP="004A1A64">
            <w:pPr>
              <w:rPr>
                <w:rFonts w:cs="Arial"/>
                <w:color w:val="000000"/>
                <w:sz w:val="20"/>
              </w:rPr>
            </w:pPr>
            <w:r w:rsidRPr="003C7A36">
              <w:rPr>
                <w:rFonts w:cs="Arial"/>
                <w:b/>
                <w:bCs/>
                <w:color w:val="000000"/>
                <w:sz w:val="20"/>
              </w:rPr>
              <w:t>Optimise Business Outcomes</w:t>
            </w:r>
          </w:p>
          <w:p w14:paraId="26699374" w14:textId="77777777" w:rsidR="006F0836" w:rsidRPr="00667FCB" w:rsidRDefault="006F0836" w:rsidP="004A1A64">
            <w:pPr>
              <w:rPr>
                <w:rFonts w:cs="Arial"/>
                <w:color w:val="000000"/>
                <w:sz w:val="20"/>
              </w:rPr>
            </w:pPr>
            <w:r w:rsidRPr="003C7A36">
              <w:rPr>
                <w:rFonts w:cs="Arial"/>
                <w:color w:val="000000"/>
                <w:sz w:val="20"/>
              </w:rPr>
              <w:t>Manage people and resources effectively to achieve public value</w:t>
            </w:r>
          </w:p>
        </w:tc>
        <w:tc>
          <w:tcPr>
            <w:tcW w:w="4709" w:type="dxa"/>
          </w:tcPr>
          <w:p w14:paraId="3B4A8B14" w14:textId="77777777" w:rsidR="006F0836" w:rsidRPr="003C7A36" w:rsidRDefault="006F0836" w:rsidP="00A55204">
            <w:pPr>
              <w:pStyle w:val="TableBullet"/>
            </w:pPr>
            <w:r w:rsidRPr="003C7A36">
              <w:t>Engage in strategic and operational workforce planning that effectively uses organisational resources to achieve business goals</w:t>
            </w:r>
          </w:p>
          <w:p w14:paraId="35C6521D" w14:textId="77777777" w:rsidR="006F0836" w:rsidRPr="003C7A36" w:rsidRDefault="006F0836" w:rsidP="00A55204">
            <w:pPr>
              <w:pStyle w:val="TableBullet"/>
            </w:pPr>
            <w:r w:rsidRPr="003C7A36">
              <w:t>Resolve any barriers to recruiting and retaining people of diverse cultures, backgrounds and experiences</w:t>
            </w:r>
          </w:p>
          <w:p w14:paraId="1448DFD4" w14:textId="77777777" w:rsidR="006F0836" w:rsidRPr="003C7A36" w:rsidRDefault="006F0836" w:rsidP="00A55204">
            <w:pPr>
              <w:pStyle w:val="TableBullet"/>
            </w:pPr>
            <w:r w:rsidRPr="003C7A36">
              <w:t>Encourage team members to take calculated risks to support innovation and improvement</w:t>
            </w:r>
          </w:p>
          <w:p w14:paraId="4ABF91D2" w14:textId="77777777" w:rsidR="006F0836" w:rsidRPr="003C7A36" w:rsidRDefault="006F0836" w:rsidP="00A55204">
            <w:pPr>
              <w:pStyle w:val="TableBullet"/>
            </w:pPr>
            <w:r w:rsidRPr="003C7A36">
              <w:t>Align systems and processes to encourage improved performance and outcomes</w:t>
            </w:r>
          </w:p>
        </w:tc>
        <w:tc>
          <w:tcPr>
            <w:tcW w:w="1668" w:type="dxa"/>
          </w:tcPr>
          <w:p w14:paraId="3249FBE8" w14:textId="77777777" w:rsidR="006F0836" w:rsidRPr="006F0836" w:rsidRDefault="004C659E" w:rsidP="00544127">
            <w:pPr>
              <w:pStyle w:val="TableText"/>
            </w:pPr>
            <w:r w:rsidRPr="004C659E">
              <w:t>Advanced</w:t>
            </w:r>
          </w:p>
        </w:tc>
      </w:tr>
    </w:tbl>
    <w:p w14:paraId="6C14717C" w14:textId="77777777" w:rsidR="00A7563F" w:rsidRDefault="00A7563F"/>
    <w:p w14:paraId="67EC55B3" w14:textId="77777777" w:rsidR="006706A2" w:rsidRDefault="006706A2">
      <w:pPr>
        <w:rPr>
          <w:rFonts w:cs="Arial"/>
          <w:b/>
          <w:bCs/>
          <w:iCs/>
          <w:sz w:val="26"/>
          <w:szCs w:val="28"/>
        </w:rPr>
      </w:pPr>
      <w:r>
        <w:br w:type="page"/>
      </w:r>
    </w:p>
    <w:p w14:paraId="61B90C70" w14:textId="34241953" w:rsidR="00BC5926" w:rsidRDefault="00BC5926" w:rsidP="00BC5926">
      <w:pPr>
        <w:pStyle w:val="Heading2"/>
      </w:pPr>
      <w:r w:rsidRPr="00AF4777">
        <w:lastRenderedPageBreak/>
        <w:t>Occupational Specific</w:t>
      </w:r>
      <w:r>
        <w:t xml:space="preserve"> Focus</w:t>
      </w:r>
      <w:r w:rsidRPr="00AF4777">
        <w:t xml:space="preserve"> Capabilities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OccupationalSpecificFocusCapabilitiesTable"/>
      </w:tblPr>
      <w:tblGrid>
        <w:gridCol w:w="1415"/>
        <w:gridCol w:w="2838"/>
        <w:gridCol w:w="5103"/>
        <w:gridCol w:w="1132"/>
      </w:tblGrid>
      <w:tr w:rsidR="00BC5926" w:rsidRPr="00372FE9" w14:paraId="1871D66C" w14:textId="77777777" w:rsidTr="00D0350D">
        <w:trPr>
          <w:cnfStyle w:val="100000000000" w:firstRow="1" w:lastRow="0" w:firstColumn="0" w:lastColumn="0" w:oddVBand="0" w:evenVBand="0" w:oddHBand="0" w:evenHBand="0" w:firstRowFirstColumn="0" w:firstRowLastColumn="0" w:lastRowFirstColumn="0" w:lastRowLastColumn="0"/>
          <w:cantSplit/>
        </w:trPr>
        <w:tc>
          <w:tcPr>
            <w:tcW w:w="1415" w:type="dxa"/>
            <w:shd w:val="clear" w:color="auto" w:fill="BFBFBF" w:themeFill="background1" w:themeFillShade="BF"/>
            <w:vAlign w:val="center"/>
          </w:tcPr>
          <w:p w14:paraId="131F0D71" w14:textId="77777777" w:rsidR="00BC5926" w:rsidRPr="003C7A36" w:rsidRDefault="00BC5926" w:rsidP="00D0350D">
            <w:pPr>
              <w:rPr>
                <w:sz w:val="20"/>
              </w:rPr>
            </w:pPr>
            <w:r w:rsidRPr="003C7A36">
              <w:rPr>
                <w:b/>
                <w:sz w:val="20"/>
              </w:rPr>
              <w:t>Capability group/sets</w:t>
            </w:r>
          </w:p>
        </w:tc>
        <w:tc>
          <w:tcPr>
            <w:tcW w:w="2838" w:type="dxa"/>
            <w:shd w:val="clear" w:color="auto" w:fill="BFBFBF" w:themeFill="background1" w:themeFillShade="BF"/>
          </w:tcPr>
          <w:p w14:paraId="295358FB" w14:textId="77777777" w:rsidR="00BC5926" w:rsidRPr="003C7A36" w:rsidRDefault="00BC5926" w:rsidP="00D0350D">
            <w:pPr>
              <w:rPr>
                <w:sz w:val="20"/>
              </w:rPr>
            </w:pPr>
            <w:r w:rsidRPr="003C7A36">
              <w:rPr>
                <w:b/>
                <w:sz w:val="20"/>
              </w:rPr>
              <w:t>Capability name</w:t>
            </w:r>
          </w:p>
        </w:tc>
        <w:tc>
          <w:tcPr>
            <w:tcW w:w="5103" w:type="dxa"/>
            <w:shd w:val="clear" w:color="auto" w:fill="BFBFBF" w:themeFill="background1" w:themeFillShade="BF"/>
          </w:tcPr>
          <w:p w14:paraId="7D89601C" w14:textId="77777777" w:rsidR="00BC5926" w:rsidRPr="003C7A36" w:rsidRDefault="00BC5926" w:rsidP="00D0350D">
            <w:pPr>
              <w:rPr>
                <w:sz w:val="20"/>
              </w:rPr>
            </w:pPr>
            <w:r w:rsidRPr="003C7A36">
              <w:rPr>
                <w:b/>
                <w:sz w:val="20"/>
              </w:rPr>
              <w:t>Behavioural indicators</w:t>
            </w:r>
          </w:p>
        </w:tc>
        <w:tc>
          <w:tcPr>
            <w:tcW w:w="1132" w:type="dxa"/>
            <w:shd w:val="clear" w:color="auto" w:fill="BFBFBF" w:themeFill="background1" w:themeFillShade="BF"/>
          </w:tcPr>
          <w:p w14:paraId="1A390497" w14:textId="77777777" w:rsidR="00BC5926" w:rsidRPr="00372FE9" w:rsidRDefault="00BC5926" w:rsidP="00D0350D">
            <w:pPr>
              <w:rPr>
                <w:b/>
                <w:bCs/>
                <w:sz w:val="20"/>
              </w:rPr>
            </w:pPr>
            <w:r w:rsidRPr="00372FE9">
              <w:rPr>
                <w:b/>
                <w:bCs/>
                <w:sz w:val="20"/>
              </w:rPr>
              <w:t>Level</w:t>
            </w:r>
          </w:p>
        </w:tc>
      </w:tr>
      <w:tr w:rsidR="00BC5926" w:rsidRPr="003C7A36" w14:paraId="3FB755A7" w14:textId="77777777" w:rsidTr="00D0350D">
        <w:trPr>
          <w:cantSplit/>
        </w:trPr>
        <w:tc>
          <w:tcPr>
            <w:tcW w:w="1415" w:type="dxa"/>
          </w:tcPr>
          <w:p w14:paraId="623B9E3C" w14:textId="77777777" w:rsidR="00BC5926" w:rsidRPr="00372FE9" w:rsidRDefault="00BC5926" w:rsidP="00D0350D">
            <w:pPr>
              <w:rPr>
                <w:sz w:val="20"/>
              </w:rPr>
            </w:pPr>
            <w:r w:rsidRPr="00372FE9">
              <w:rPr>
                <w:noProof/>
                <w:sz w:val="20"/>
                <w:lang w:eastAsia="en-AU"/>
              </w:rPr>
              <w:drawing>
                <wp:inline distT="0" distB="0" distL="0" distR="0" wp14:anchorId="0D5B07DC" wp14:editId="78494229">
                  <wp:extent cx="825500" cy="825500"/>
                  <wp:effectExtent l="0" t="0" r="0" b="0"/>
                  <wp:docPr id="3231" name="finance-professionals-capability-set.jpg" descr="finance-professionals-capability-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nance-professionals-capability-set.jpg" descr="Finance"/>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834035" cy="834035"/>
                          </a:xfrm>
                          <a:prstGeom prst="rect">
                            <a:avLst/>
                          </a:prstGeom>
                          <a:noFill/>
                          <a:ln>
                            <a:noFill/>
                          </a:ln>
                        </pic:spPr>
                      </pic:pic>
                    </a:graphicData>
                  </a:graphic>
                </wp:inline>
              </w:drawing>
            </w:r>
          </w:p>
        </w:tc>
        <w:tc>
          <w:tcPr>
            <w:tcW w:w="2838" w:type="dxa"/>
          </w:tcPr>
          <w:p w14:paraId="24325C0F" w14:textId="77777777" w:rsidR="00BC5926" w:rsidRDefault="00BC5926" w:rsidP="00D0350D">
            <w:pPr>
              <w:rPr>
                <w:rFonts w:cs="Arial"/>
                <w:b/>
                <w:bCs/>
                <w:color w:val="000000"/>
                <w:sz w:val="20"/>
              </w:rPr>
            </w:pPr>
            <w:r w:rsidRPr="00372FE9">
              <w:rPr>
                <w:rFonts w:cs="Arial"/>
                <w:b/>
                <w:bCs/>
                <w:color w:val="000000"/>
                <w:sz w:val="20"/>
              </w:rPr>
              <w:t>Financial Strategy, Governance and Risk Management</w:t>
            </w:r>
          </w:p>
          <w:p w14:paraId="3B027362" w14:textId="77777777" w:rsidR="00BC5926" w:rsidRPr="00667FCB" w:rsidRDefault="00BC5926" w:rsidP="00D0350D">
            <w:pPr>
              <w:rPr>
                <w:rFonts w:cs="Arial"/>
                <w:b/>
                <w:bCs/>
                <w:color w:val="000000"/>
                <w:sz w:val="20"/>
              </w:rPr>
            </w:pPr>
            <w:r w:rsidRPr="00372FE9">
              <w:rPr>
                <w:rFonts w:cs="Arial"/>
                <w:color w:val="000000"/>
                <w:sz w:val="20"/>
              </w:rPr>
              <w:t>Establish effective and appropriate governance, assess the organisation’s strategic financial position, and ensure effective investment and financing decisions</w:t>
            </w:r>
          </w:p>
        </w:tc>
        <w:tc>
          <w:tcPr>
            <w:tcW w:w="5103" w:type="dxa"/>
          </w:tcPr>
          <w:p w14:paraId="68113876" w14:textId="77777777" w:rsidR="00BC5926" w:rsidRPr="00A00465" w:rsidRDefault="00BC5926" w:rsidP="00D0350D">
            <w:pPr>
              <w:pStyle w:val="TableBullet"/>
              <w:rPr>
                <w:lang w:val="en-US"/>
              </w:rPr>
            </w:pPr>
            <w:r w:rsidRPr="00372FE9">
              <w:rPr>
                <w:rFonts w:cs="Arial"/>
                <w:color w:val="000000"/>
              </w:rPr>
              <w:t>Advise business management on the most appropriate finance sourcing strategies to meet strategic organisational goals</w:t>
            </w:r>
            <w:r w:rsidRPr="00A00465">
              <w:rPr>
                <w:rFonts w:cs="Arial"/>
                <w:color w:val="000000"/>
              </w:rPr>
              <w:t xml:space="preserve"> </w:t>
            </w:r>
          </w:p>
          <w:p w14:paraId="77AFFA1B" w14:textId="77777777" w:rsidR="00BC5926" w:rsidRPr="00A00465" w:rsidRDefault="00BC5926" w:rsidP="00D0350D">
            <w:pPr>
              <w:pStyle w:val="TableBullet"/>
              <w:rPr>
                <w:lang w:val="en-US"/>
              </w:rPr>
            </w:pPr>
            <w:r w:rsidRPr="00372FE9">
              <w:rPr>
                <w:rFonts w:cs="Arial"/>
                <w:color w:val="000000"/>
              </w:rPr>
              <w:t>Design evaluation protocols, benchmarking standards and key measures to monitor the performance of specific programs and selected financial strategies</w:t>
            </w:r>
            <w:r w:rsidRPr="00A00465">
              <w:rPr>
                <w:rFonts w:cs="Arial"/>
                <w:color w:val="000000"/>
              </w:rPr>
              <w:t xml:space="preserve"> </w:t>
            </w:r>
          </w:p>
          <w:p w14:paraId="351AC596" w14:textId="77777777" w:rsidR="00BC5926" w:rsidRPr="00A00465" w:rsidRDefault="00BC5926" w:rsidP="00D0350D">
            <w:pPr>
              <w:pStyle w:val="TableBullet"/>
              <w:rPr>
                <w:lang w:val="en-US"/>
              </w:rPr>
            </w:pPr>
            <w:r w:rsidRPr="00372FE9">
              <w:rPr>
                <w:rFonts w:cs="Arial"/>
                <w:color w:val="000000"/>
              </w:rPr>
              <w:t>Design and implement governance frameworks and financial management structures and systems, understanding the requirements of diverse organisations</w:t>
            </w:r>
            <w:r w:rsidRPr="00A00465">
              <w:rPr>
                <w:rFonts w:cs="Arial"/>
                <w:color w:val="000000"/>
              </w:rPr>
              <w:t xml:space="preserve"> </w:t>
            </w:r>
          </w:p>
          <w:p w14:paraId="5F1AD4FF" w14:textId="77777777" w:rsidR="00BC5926" w:rsidRPr="00A00465" w:rsidRDefault="00BC5926" w:rsidP="00D0350D">
            <w:pPr>
              <w:pStyle w:val="TableBullet"/>
              <w:rPr>
                <w:lang w:val="en-US"/>
              </w:rPr>
            </w:pPr>
            <w:r w:rsidRPr="00372FE9">
              <w:rPr>
                <w:rFonts w:cs="Arial"/>
                <w:color w:val="000000"/>
              </w:rPr>
              <w:t>Implement financial policies and effective financial control mechanisms, and ensure that these are clearly understood by finance staff across the organisation</w:t>
            </w:r>
            <w:r w:rsidRPr="00A00465">
              <w:rPr>
                <w:rFonts w:cs="Arial"/>
                <w:color w:val="000000"/>
              </w:rPr>
              <w:t xml:space="preserve"> </w:t>
            </w:r>
          </w:p>
          <w:p w14:paraId="236A1BBF" w14:textId="77777777" w:rsidR="00BC5926" w:rsidRPr="00A00465" w:rsidRDefault="00BC5926" w:rsidP="00D0350D">
            <w:pPr>
              <w:pStyle w:val="TableBullet"/>
              <w:rPr>
                <w:lang w:val="en-US"/>
              </w:rPr>
            </w:pPr>
            <w:r w:rsidRPr="00372FE9">
              <w:rPr>
                <w:rFonts w:cs="Arial"/>
                <w:color w:val="000000"/>
              </w:rPr>
              <w:t>Test the validity and value of financial policies, implementing changes which deliver the most effective outcomes for stakeholders</w:t>
            </w:r>
            <w:r w:rsidRPr="00A00465">
              <w:rPr>
                <w:rFonts w:cs="Arial"/>
                <w:color w:val="000000"/>
              </w:rPr>
              <w:t xml:space="preserve"> </w:t>
            </w:r>
          </w:p>
          <w:p w14:paraId="38B73173" w14:textId="77777777" w:rsidR="00BC5926" w:rsidRPr="00A00465" w:rsidRDefault="00BC5926" w:rsidP="00D0350D">
            <w:pPr>
              <w:pStyle w:val="TableBullet"/>
              <w:rPr>
                <w:lang w:val="en-US"/>
              </w:rPr>
            </w:pPr>
            <w:r w:rsidRPr="00372FE9">
              <w:rPr>
                <w:rFonts w:cs="Arial"/>
                <w:color w:val="000000"/>
              </w:rPr>
              <w:t>Design and implement the organisation’s financial planning process</w:t>
            </w:r>
            <w:r w:rsidRPr="00A00465">
              <w:rPr>
                <w:rFonts w:cs="Arial"/>
                <w:color w:val="000000"/>
              </w:rPr>
              <w:t xml:space="preserve"> </w:t>
            </w:r>
          </w:p>
        </w:tc>
        <w:tc>
          <w:tcPr>
            <w:tcW w:w="1132" w:type="dxa"/>
          </w:tcPr>
          <w:p w14:paraId="66F0D20E" w14:textId="77777777" w:rsidR="00BC5926" w:rsidRPr="00372FE9" w:rsidRDefault="00BC5926" w:rsidP="00D0350D">
            <w:pPr>
              <w:pStyle w:val="TableText"/>
            </w:pPr>
            <w:r w:rsidRPr="00372FE9">
              <w:t>Level 4</w:t>
            </w:r>
          </w:p>
        </w:tc>
      </w:tr>
      <w:tr w:rsidR="00BC5926" w:rsidRPr="003C7A36" w14:paraId="46DF11E2" w14:textId="77777777" w:rsidTr="00D0350D">
        <w:trPr>
          <w:cantSplit/>
        </w:trPr>
        <w:tc>
          <w:tcPr>
            <w:tcW w:w="1415" w:type="dxa"/>
          </w:tcPr>
          <w:p w14:paraId="775DB717" w14:textId="77777777" w:rsidR="00BC5926" w:rsidRPr="00372FE9" w:rsidRDefault="00BC5926" w:rsidP="00D0350D">
            <w:pPr>
              <w:rPr>
                <w:sz w:val="20"/>
              </w:rPr>
            </w:pPr>
            <w:r w:rsidRPr="00372FE9">
              <w:rPr>
                <w:noProof/>
                <w:sz w:val="20"/>
                <w:lang w:eastAsia="en-AU"/>
              </w:rPr>
              <w:drawing>
                <wp:inline distT="0" distB="0" distL="0" distR="0" wp14:anchorId="2D7C046D" wp14:editId="09C281DF">
                  <wp:extent cx="825500" cy="825500"/>
                  <wp:effectExtent l="0" t="0" r="0" b="0"/>
                  <wp:docPr id="1597" name="finance-professionals-capability-set.jpg" descr="finance-professionals-capability-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nance-professionals-capability-set.jpg" descr="Finance"/>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834035" cy="834035"/>
                          </a:xfrm>
                          <a:prstGeom prst="rect">
                            <a:avLst/>
                          </a:prstGeom>
                          <a:noFill/>
                          <a:ln>
                            <a:noFill/>
                          </a:ln>
                        </pic:spPr>
                      </pic:pic>
                    </a:graphicData>
                  </a:graphic>
                </wp:inline>
              </w:drawing>
            </w:r>
          </w:p>
        </w:tc>
        <w:tc>
          <w:tcPr>
            <w:tcW w:w="2838" w:type="dxa"/>
          </w:tcPr>
          <w:p w14:paraId="6145DBDF" w14:textId="77777777" w:rsidR="00BC5926" w:rsidRDefault="00BC5926" w:rsidP="00D0350D">
            <w:pPr>
              <w:rPr>
                <w:rFonts w:cs="Arial"/>
                <w:b/>
                <w:bCs/>
                <w:color w:val="000000"/>
                <w:sz w:val="20"/>
              </w:rPr>
            </w:pPr>
            <w:r w:rsidRPr="00372FE9">
              <w:rPr>
                <w:rFonts w:cs="Arial"/>
                <w:b/>
                <w:bCs/>
                <w:color w:val="000000"/>
                <w:sz w:val="20"/>
              </w:rPr>
              <w:t>Financial Accounting and Statutory Reporting</w:t>
            </w:r>
          </w:p>
          <w:p w14:paraId="5010F737" w14:textId="77777777" w:rsidR="00BC5926" w:rsidRPr="00667FCB" w:rsidRDefault="00BC5926" w:rsidP="00D0350D">
            <w:pPr>
              <w:rPr>
                <w:rFonts w:cs="Arial"/>
                <w:b/>
                <w:bCs/>
                <w:color w:val="000000"/>
                <w:sz w:val="20"/>
              </w:rPr>
            </w:pPr>
            <w:r w:rsidRPr="00372FE9">
              <w:rPr>
                <w:rFonts w:cs="Arial"/>
                <w:color w:val="000000"/>
                <w:sz w:val="20"/>
              </w:rPr>
              <w:t>Apply and comply with accounting standards, legislation and specific organisational policies, standards and protocols, and implement effective statutory and other external reporting requirements</w:t>
            </w:r>
          </w:p>
        </w:tc>
        <w:tc>
          <w:tcPr>
            <w:tcW w:w="5103" w:type="dxa"/>
          </w:tcPr>
          <w:p w14:paraId="35E8E6D4" w14:textId="77777777" w:rsidR="00BC5926" w:rsidRPr="00A00465" w:rsidRDefault="00BC5926" w:rsidP="00D0350D">
            <w:pPr>
              <w:pStyle w:val="TableBullet"/>
              <w:rPr>
                <w:lang w:val="en-US"/>
              </w:rPr>
            </w:pPr>
            <w:r w:rsidRPr="00372FE9">
              <w:rPr>
                <w:rFonts w:cs="Arial"/>
                <w:color w:val="000000"/>
              </w:rPr>
              <w:t>Provide expert technical interpretation of legislation, accounting policies and standards and develop organisation specific policies</w:t>
            </w:r>
            <w:r w:rsidRPr="00A00465">
              <w:rPr>
                <w:rFonts w:cs="Arial"/>
                <w:color w:val="000000"/>
              </w:rPr>
              <w:t xml:space="preserve"> </w:t>
            </w:r>
          </w:p>
          <w:p w14:paraId="42EC116E" w14:textId="77777777" w:rsidR="00BC5926" w:rsidRPr="00A00465" w:rsidRDefault="00BC5926" w:rsidP="00D0350D">
            <w:pPr>
              <w:pStyle w:val="TableBullet"/>
              <w:rPr>
                <w:lang w:val="en-US"/>
              </w:rPr>
            </w:pPr>
            <w:r w:rsidRPr="00372FE9">
              <w:rPr>
                <w:rFonts w:cs="Arial"/>
                <w:color w:val="000000"/>
              </w:rPr>
              <w:t>Monitor and anticipate the impact of NSW Treasury Policy, Audit Office guidelines and AASB standards and guidance on the organisation and direct appropriate action</w:t>
            </w:r>
            <w:r w:rsidRPr="00A00465">
              <w:rPr>
                <w:rFonts w:cs="Arial"/>
                <w:color w:val="000000"/>
              </w:rPr>
              <w:t xml:space="preserve"> </w:t>
            </w:r>
          </w:p>
          <w:p w14:paraId="75658E90" w14:textId="77777777" w:rsidR="00BC5926" w:rsidRPr="00A00465" w:rsidRDefault="00BC5926" w:rsidP="00D0350D">
            <w:pPr>
              <w:pStyle w:val="TableBullet"/>
              <w:rPr>
                <w:lang w:val="en-US"/>
              </w:rPr>
            </w:pPr>
            <w:r w:rsidRPr="00372FE9">
              <w:rPr>
                <w:rFonts w:cs="Arial"/>
                <w:color w:val="000000"/>
              </w:rPr>
              <w:t>Approve financial (including cash management and forecasting) reports, briefs and proposals relating to the organisation’s financial position</w:t>
            </w:r>
            <w:r w:rsidRPr="00A00465">
              <w:rPr>
                <w:rFonts w:cs="Arial"/>
                <w:color w:val="000000"/>
              </w:rPr>
              <w:t xml:space="preserve"> </w:t>
            </w:r>
          </w:p>
          <w:p w14:paraId="541B0FD7" w14:textId="77777777" w:rsidR="00BC5926" w:rsidRPr="00A00465" w:rsidRDefault="00BC5926" w:rsidP="00D0350D">
            <w:pPr>
              <w:pStyle w:val="TableBullet"/>
              <w:rPr>
                <w:lang w:val="en-US"/>
              </w:rPr>
            </w:pPr>
            <w:r w:rsidRPr="00372FE9">
              <w:rPr>
                <w:rFonts w:cs="Arial"/>
                <w:color w:val="000000"/>
              </w:rPr>
              <w:t>Communicate financial results that are compliant with NSW Treasury policies and external regulatory requirements and which are easily interpreted by stakeholders</w:t>
            </w:r>
            <w:r w:rsidRPr="00A00465">
              <w:rPr>
                <w:rFonts w:cs="Arial"/>
                <w:color w:val="000000"/>
              </w:rPr>
              <w:t xml:space="preserve"> </w:t>
            </w:r>
          </w:p>
          <w:p w14:paraId="2D3B89BE" w14:textId="77777777" w:rsidR="00BC5926" w:rsidRPr="00A00465" w:rsidRDefault="00BC5926" w:rsidP="00D0350D">
            <w:pPr>
              <w:pStyle w:val="TableBullet"/>
              <w:rPr>
                <w:lang w:val="en-US"/>
              </w:rPr>
            </w:pPr>
            <w:r w:rsidRPr="00372FE9">
              <w:rPr>
                <w:rFonts w:cs="Arial"/>
                <w:color w:val="000000"/>
              </w:rPr>
              <w:t>Provide strategic financial accounting advice and commentary to business leadership so that strategic business planning processes and the consideration of new business initiatives are fully informed on financial/accounting implications</w:t>
            </w:r>
            <w:r w:rsidRPr="00A00465">
              <w:rPr>
                <w:rFonts w:cs="Arial"/>
                <w:color w:val="000000"/>
              </w:rPr>
              <w:t xml:space="preserve"> </w:t>
            </w:r>
          </w:p>
        </w:tc>
        <w:tc>
          <w:tcPr>
            <w:tcW w:w="1132" w:type="dxa"/>
          </w:tcPr>
          <w:p w14:paraId="6020014F" w14:textId="77777777" w:rsidR="00BC5926" w:rsidRPr="00372FE9" w:rsidRDefault="00BC5926" w:rsidP="00D0350D">
            <w:pPr>
              <w:pStyle w:val="TableText"/>
            </w:pPr>
            <w:r w:rsidRPr="00372FE9">
              <w:t>Level 4</w:t>
            </w:r>
          </w:p>
        </w:tc>
      </w:tr>
      <w:tr w:rsidR="00BC5926" w:rsidRPr="003C7A36" w14:paraId="0BC1ECBD" w14:textId="77777777" w:rsidTr="00D0350D">
        <w:trPr>
          <w:cantSplit/>
        </w:trPr>
        <w:tc>
          <w:tcPr>
            <w:tcW w:w="1415" w:type="dxa"/>
          </w:tcPr>
          <w:p w14:paraId="76BDF14D" w14:textId="77777777" w:rsidR="00BC5926" w:rsidRPr="00372FE9" w:rsidRDefault="00BC5926" w:rsidP="00D0350D">
            <w:pPr>
              <w:rPr>
                <w:sz w:val="20"/>
              </w:rPr>
            </w:pPr>
            <w:r w:rsidRPr="00372FE9">
              <w:rPr>
                <w:noProof/>
                <w:sz w:val="20"/>
                <w:lang w:eastAsia="en-AU"/>
              </w:rPr>
              <w:lastRenderedPageBreak/>
              <w:drawing>
                <wp:inline distT="0" distB="0" distL="0" distR="0" wp14:anchorId="05FD0B4D" wp14:editId="57A740CB">
                  <wp:extent cx="825500" cy="825500"/>
                  <wp:effectExtent l="0" t="0" r="0" b="0"/>
                  <wp:docPr id="5181" name="finance-professionals-capability-set.jpg" descr="finance-professionals-capability-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nance-professionals-capability-set.jpg" descr="Finance"/>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834035" cy="834035"/>
                          </a:xfrm>
                          <a:prstGeom prst="rect">
                            <a:avLst/>
                          </a:prstGeom>
                          <a:noFill/>
                          <a:ln>
                            <a:noFill/>
                          </a:ln>
                        </pic:spPr>
                      </pic:pic>
                    </a:graphicData>
                  </a:graphic>
                </wp:inline>
              </w:drawing>
            </w:r>
          </w:p>
        </w:tc>
        <w:tc>
          <w:tcPr>
            <w:tcW w:w="2838" w:type="dxa"/>
          </w:tcPr>
          <w:p w14:paraId="6FDF0DE2" w14:textId="77777777" w:rsidR="00BC5926" w:rsidRDefault="00BC5926" w:rsidP="00D0350D">
            <w:pPr>
              <w:rPr>
                <w:rFonts w:cs="Arial"/>
                <w:b/>
                <w:bCs/>
                <w:color w:val="000000"/>
                <w:sz w:val="20"/>
              </w:rPr>
            </w:pPr>
            <w:r w:rsidRPr="00372FE9">
              <w:rPr>
                <w:rFonts w:cs="Arial"/>
                <w:b/>
                <w:bCs/>
                <w:color w:val="000000"/>
                <w:sz w:val="20"/>
              </w:rPr>
              <w:t>Finance Business Partnering</w:t>
            </w:r>
          </w:p>
          <w:p w14:paraId="5B247B21" w14:textId="77777777" w:rsidR="00BC5926" w:rsidRPr="00667FCB" w:rsidRDefault="00BC5926" w:rsidP="00D0350D">
            <w:pPr>
              <w:rPr>
                <w:rFonts w:cs="Arial"/>
                <w:b/>
                <w:bCs/>
                <w:color w:val="000000"/>
                <w:sz w:val="20"/>
              </w:rPr>
            </w:pPr>
            <w:r w:rsidRPr="00372FE9">
              <w:rPr>
                <w:rFonts w:cs="Arial"/>
                <w:color w:val="000000"/>
                <w:sz w:val="20"/>
              </w:rPr>
              <w:t>Partner with key stakeholders, and provide expert professional advice, coaching and consulting expertise to ensure the effective alignment of financial management strategies and organisational objectives</w:t>
            </w:r>
          </w:p>
        </w:tc>
        <w:tc>
          <w:tcPr>
            <w:tcW w:w="5103" w:type="dxa"/>
          </w:tcPr>
          <w:p w14:paraId="21948DB6" w14:textId="77777777" w:rsidR="00BC5926" w:rsidRPr="00A00465" w:rsidRDefault="00BC5926" w:rsidP="00D0350D">
            <w:pPr>
              <w:pStyle w:val="TableBullet"/>
              <w:rPr>
                <w:lang w:val="en-US"/>
              </w:rPr>
            </w:pPr>
            <w:r w:rsidRPr="00372FE9">
              <w:rPr>
                <w:rFonts w:cs="Arial"/>
                <w:color w:val="000000"/>
              </w:rPr>
              <w:t>Identify or broker the most appropriate funding solutions or services to respond to and support new or ongoing business initiatives</w:t>
            </w:r>
            <w:r w:rsidRPr="00A00465">
              <w:rPr>
                <w:rFonts w:cs="Arial"/>
                <w:color w:val="000000"/>
              </w:rPr>
              <w:t xml:space="preserve"> </w:t>
            </w:r>
          </w:p>
          <w:p w14:paraId="5B0D4819" w14:textId="77777777" w:rsidR="00BC5926" w:rsidRPr="00A00465" w:rsidRDefault="00BC5926" w:rsidP="00D0350D">
            <w:pPr>
              <w:pStyle w:val="TableBullet"/>
              <w:rPr>
                <w:lang w:val="en-US"/>
              </w:rPr>
            </w:pPr>
            <w:r w:rsidRPr="00372FE9">
              <w:rPr>
                <w:rFonts w:cs="Arial"/>
                <w:color w:val="000000"/>
              </w:rPr>
              <w:t>Partner with senior management to determine the underlying financial strength of the organisation and to decide how to remedy deficiencies and mitigate financial risks</w:t>
            </w:r>
            <w:r w:rsidRPr="00A00465">
              <w:rPr>
                <w:rFonts w:cs="Arial"/>
                <w:color w:val="000000"/>
              </w:rPr>
              <w:t xml:space="preserve"> </w:t>
            </w:r>
          </w:p>
          <w:p w14:paraId="2793BDC7" w14:textId="77777777" w:rsidR="00BC5926" w:rsidRPr="00A00465" w:rsidRDefault="00BC5926" w:rsidP="00D0350D">
            <w:pPr>
              <w:pStyle w:val="TableBullet"/>
              <w:rPr>
                <w:lang w:val="en-US"/>
              </w:rPr>
            </w:pPr>
            <w:r w:rsidRPr="00372FE9">
              <w:rPr>
                <w:rFonts w:cs="Arial"/>
                <w:color w:val="000000"/>
              </w:rPr>
              <w:t>Consult and advise business leaders around the achievement of the best return on investment for programs and initiatives, to deliver on business needs and objectives</w:t>
            </w:r>
            <w:r w:rsidRPr="00A00465">
              <w:rPr>
                <w:rFonts w:cs="Arial"/>
                <w:color w:val="000000"/>
              </w:rPr>
              <w:t xml:space="preserve"> </w:t>
            </w:r>
          </w:p>
          <w:p w14:paraId="69E434D6" w14:textId="77777777" w:rsidR="00BC5926" w:rsidRPr="00A00465" w:rsidRDefault="00BC5926" w:rsidP="00D0350D">
            <w:pPr>
              <w:pStyle w:val="TableBullet"/>
              <w:rPr>
                <w:lang w:val="en-US"/>
              </w:rPr>
            </w:pPr>
            <w:r w:rsidRPr="00372FE9">
              <w:rPr>
                <w:rFonts w:cs="Arial"/>
                <w:color w:val="000000"/>
              </w:rPr>
              <w:t>Reinforce a high level of understanding and appreciation of the successful alignment of business practices with government financial management requirements and the need for early intervention when corrective actions are needed</w:t>
            </w:r>
            <w:r w:rsidRPr="00A00465">
              <w:rPr>
                <w:rFonts w:cs="Arial"/>
                <w:color w:val="000000"/>
              </w:rPr>
              <w:t xml:space="preserve"> </w:t>
            </w:r>
          </w:p>
          <w:p w14:paraId="72CBE2C3" w14:textId="77777777" w:rsidR="00BC5926" w:rsidRPr="00A00465" w:rsidRDefault="00BC5926" w:rsidP="00D0350D">
            <w:pPr>
              <w:pStyle w:val="TableBullet"/>
              <w:rPr>
                <w:lang w:val="en-US"/>
              </w:rPr>
            </w:pPr>
            <w:r w:rsidRPr="00372FE9">
              <w:rPr>
                <w:rFonts w:cs="Arial"/>
                <w:color w:val="000000"/>
              </w:rPr>
              <w:t>Apply thorough understanding of government financial management legislation and regulation and Treasury accounting policies</w:t>
            </w:r>
            <w:r w:rsidRPr="00A00465">
              <w:rPr>
                <w:rFonts w:cs="Arial"/>
                <w:color w:val="000000"/>
              </w:rPr>
              <w:t xml:space="preserve"> </w:t>
            </w:r>
          </w:p>
          <w:p w14:paraId="12C737B2" w14:textId="77777777" w:rsidR="00BC5926" w:rsidRPr="00A00465" w:rsidRDefault="00BC5926" w:rsidP="00D0350D">
            <w:pPr>
              <w:pStyle w:val="TableBullet"/>
              <w:rPr>
                <w:lang w:val="en-US"/>
              </w:rPr>
            </w:pPr>
            <w:r w:rsidRPr="00372FE9">
              <w:rPr>
                <w:rFonts w:cs="Arial"/>
                <w:color w:val="000000"/>
              </w:rPr>
              <w:t>Collaborate with business managers ensuring that appropriate expert financial advice and guidance add value to decision making or responses to issues or events</w:t>
            </w:r>
            <w:r w:rsidRPr="00A00465">
              <w:rPr>
                <w:rFonts w:cs="Arial"/>
                <w:color w:val="000000"/>
              </w:rPr>
              <w:t xml:space="preserve"> </w:t>
            </w:r>
          </w:p>
          <w:p w14:paraId="7FB06E05" w14:textId="77777777" w:rsidR="00BC5926" w:rsidRPr="00A00465" w:rsidRDefault="00BC5926" w:rsidP="00D0350D">
            <w:pPr>
              <w:pStyle w:val="TableBullet"/>
              <w:rPr>
                <w:lang w:val="en-US"/>
              </w:rPr>
            </w:pPr>
            <w:r w:rsidRPr="00372FE9">
              <w:rPr>
                <w:rFonts w:cs="Arial"/>
                <w:color w:val="000000"/>
              </w:rPr>
              <w:t>Implement appropriate professional networking within and outside of the sector to benchmark practices and solutions which improve business performance</w:t>
            </w:r>
            <w:r w:rsidRPr="00A00465">
              <w:rPr>
                <w:rFonts w:cs="Arial"/>
                <w:color w:val="000000"/>
              </w:rPr>
              <w:t xml:space="preserve"> </w:t>
            </w:r>
          </w:p>
        </w:tc>
        <w:tc>
          <w:tcPr>
            <w:tcW w:w="1132" w:type="dxa"/>
          </w:tcPr>
          <w:p w14:paraId="2E79A529" w14:textId="77777777" w:rsidR="00BC5926" w:rsidRPr="00372FE9" w:rsidRDefault="00BC5926" w:rsidP="00D0350D">
            <w:pPr>
              <w:pStyle w:val="TableText"/>
            </w:pPr>
            <w:r w:rsidRPr="00372FE9">
              <w:t>Level 4</w:t>
            </w:r>
          </w:p>
        </w:tc>
      </w:tr>
    </w:tbl>
    <w:p w14:paraId="63FFB2D8" w14:textId="77777777" w:rsidR="009E0B71" w:rsidRDefault="009E0B71" w:rsidP="000C453F">
      <w:pPr>
        <w:pStyle w:val="Heading2"/>
      </w:pPr>
      <w:r>
        <w:t>Complementary capabilities</w:t>
      </w:r>
    </w:p>
    <w:p w14:paraId="637D0573" w14:textId="77777777" w:rsidR="009E0B71" w:rsidRPr="003927AE" w:rsidRDefault="009E0B71" w:rsidP="61233093">
      <w:pPr>
        <w:pStyle w:val="PlainText"/>
        <w:spacing w:before="62" w:line="276" w:lineRule="auto"/>
        <w:contextualSpacing/>
        <w:rPr>
          <w:rFonts w:eastAsiaTheme="minorEastAsia"/>
          <w:lang w:val="en-US"/>
        </w:rPr>
      </w:pPr>
      <w:r w:rsidRPr="61233093">
        <w:rPr>
          <w:rFonts w:eastAsiaTheme="minorEastAsia"/>
          <w:i/>
          <w:iCs/>
          <w:lang w:val="en-US"/>
        </w:rPr>
        <w:t>Complementary capabilities</w:t>
      </w:r>
      <w:r w:rsidRPr="61233093">
        <w:rPr>
          <w:rFonts w:eastAsiaTheme="minorEastAsia"/>
          <w:lang w:val="en-US"/>
        </w:rPr>
        <w:t xml:space="preserve"> are also identified from the Capability Framework and relevant occupation-specific capability sets. They are important to identifying performance required for the role and development opportunities. </w:t>
      </w:r>
    </w:p>
    <w:p w14:paraId="4E46E5B7" w14:textId="77777777" w:rsidR="009E0B71" w:rsidRDefault="009E0B71" w:rsidP="001203EE">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10E78EA0" w14:textId="77777777" w:rsidR="00372FE9" w:rsidRDefault="00372FE9" w:rsidP="001203EE">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372FE9" w:rsidRPr="00372FE9" w14:paraId="5F3CEBD2"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276" w:type="dxa"/>
            <w:shd w:val="clear" w:color="auto" w:fill="BFBFBF" w:themeFill="background1" w:themeFillShade="BF"/>
            <w:vAlign w:val="center"/>
          </w:tcPr>
          <w:p w14:paraId="1E574E3E" w14:textId="77777777" w:rsidR="00372FE9" w:rsidRPr="00372FE9" w:rsidRDefault="00372FE9" w:rsidP="00372FE9">
            <w:pPr>
              <w:rPr>
                <w:sz w:val="20"/>
              </w:rPr>
            </w:pPr>
            <w:r w:rsidRPr="00372FE9">
              <w:rPr>
                <w:b/>
                <w:sz w:val="20"/>
              </w:rPr>
              <w:t>Capability group/sets</w:t>
            </w:r>
          </w:p>
        </w:tc>
        <w:tc>
          <w:tcPr>
            <w:tcW w:w="2693" w:type="dxa"/>
            <w:shd w:val="clear" w:color="auto" w:fill="BFBFBF" w:themeFill="background1" w:themeFillShade="BF"/>
          </w:tcPr>
          <w:p w14:paraId="16616A41" w14:textId="77777777" w:rsidR="00372FE9" w:rsidRPr="00372FE9" w:rsidRDefault="00372FE9" w:rsidP="00372FE9">
            <w:pPr>
              <w:rPr>
                <w:sz w:val="20"/>
              </w:rPr>
            </w:pPr>
            <w:r w:rsidRPr="00372FE9">
              <w:rPr>
                <w:b/>
                <w:sz w:val="20"/>
              </w:rPr>
              <w:t>Capability name</w:t>
            </w:r>
          </w:p>
        </w:tc>
        <w:tc>
          <w:tcPr>
            <w:tcW w:w="4851" w:type="dxa"/>
            <w:shd w:val="clear" w:color="auto" w:fill="BFBFBF" w:themeFill="background1" w:themeFillShade="BF"/>
          </w:tcPr>
          <w:p w14:paraId="32360F43" w14:textId="77777777" w:rsidR="00372FE9" w:rsidRPr="00372FE9" w:rsidRDefault="00372FE9" w:rsidP="00372FE9">
            <w:pPr>
              <w:rPr>
                <w:sz w:val="20"/>
              </w:rPr>
            </w:pPr>
            <w:r w:rsidRPr="00372FE9">
              <w:rPr>
                <w:b/>
                <w:sz w:val="20"/>
              </w:rPr>
              <w:t>Description</w:t>
            </w:r>
          </w:p>
        </w:tc>
        <w:tc>
          <w:tcPr>
            <w:tcW w:w="1668" w:type="dxa"/>
            <w:shd w:val="clear" w:color="auto" w:fill="BFBFBF" w:themeFill="background1" w:themeFillShade="BF"/>
          </w:tcPr>
          <w:p w14:paraId="5EF45A66" w14:textId="77777777" w:rsidR="00372FE9" w:rsidRPr="00372FE9" w:rsidRDefault="00372FE9" w:rsidP="00372FE9">
            <w:pPr>
              <w:rPr>
                <w:b/>
                <w:bCs/>
                <w:sz w:val="20"/>
              </w:rPr>
            </w:pPr>
            <w:r w:rsidRPr="00372FE9">
              <w:rPr>
                <w:b/>
                <w:bCs/>
                <w:sz w:val="20"/>
              </w:rPr>
              <w:t>Level</w:t>
            </w:r>
          </w:p>
        </w:tc>
      </w:tr>
      <w:tr w:rsidR="00372FE9" w:rsidRPr="00372FE9" w14:paraId="17E73262" w14:textId="77777777" w:rsidTr="004C659E">
        <w:trPr>
          <w:cantSplit/>
        </w:trPr>
        <w:tc>
          <w:tcPr>
            <w:tcW w:w="1276" w:type="dxa"/>
          </w:tcPr>
          <w:p w14:paraId="3F2FBF4A" w14:textId="77777777" w:rsidR="00372FE9" w:rsidRPr="00372FE9" w:rsidRDefault="00372FE9" w:rsidP="00372FE9">
            <w:pPr>
              <w:rPr>
                <w:sz w:val="20"/>
              </w:rPr>
            </w:pPr>
            <w:r w:rsidRPr="00372FE9">
              <w:rPr>
                <w:noProof/>
                <w:sz w:val="20"/>
                <w:lang w:eastAsia="en-AU"/>
              </w:rPr>
              <w:drawing>
                <wp:inline distT="0" distB="0" distL="0" distR="0" wp14:anchorId="35C26DD9" wp14:editId="7EFCF7AB">
                  <wp:extent cx="416966" cy="416966"/>
                  <wp:effectExtent l="0" t="0" r="2540" b="2540"/>
                  <wp:docPr id="265"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5CA5838" w14:textId="77777777" w:rsidR="00372FE9" w:rsidRPr="00372FE9" w:rsidRDefault="00372FE9" w:rsidP="00544127">
            <w:pPr>
              <w:pStyle w:val="TableText"/>
            </w:pPr>
            <w:r w:rsidRPr="00372FE9">
              <w:t>Display Resilience and Courage</w:t>
            </w:r>
          </w:p>
        </w:tc>
        <w:tc>
          <w:tcPr>
            <w:tcW w:w="4851" w:type="dxa"/>
          </w:tcPr>
          <w:p w14:paraId="5EA72A1E" w14:textId="77777777" w:rsidR="00372FE9" w:rsidRPr="00372FE9" w:rsidRDefault="00372FE9" w:rsidP="00544127">
            <w:pPr>
              <w:pStyle w:val="TableText"/>
            </w:pPr>
            <w:r w:rsidRPr="00372FE9">
              <w:t>Be open and honest, prepared to express your views, and willing to accept and commit to change</w:t>
            </w:r>
          </w:p>
        </w:tc>
        <w:tc>
          <w:tcPr>
            <w:tcW w:w="1668" w:type="dxa"/>
          </w:tcPr>
          <w:p w14:paraId="4E07AF91" w14:textId="77777777" w:rsidR="00372FE9" w:rsidRPr="00372FE9" w:rsidRDefault="004C659E" w:rsidP="00544127">
            <w:pPr>
              <w:pStyle w:val="TableText"/>
            </w:pPr>
            <w:r w:rsidRPr="004C659E">
              <w:t>Adept</w:t>
            </w:r>
          </w:p>
        </w:tc>
      </w:tr>
      <w:tr w:rsidR="00372FE9" w:rsidRPr="00372FE9" w14:paraId="21045FA5" w14:textId="77777777" w:rsidTr="004C659E">
        <w:trPr>
          <w:cantSplit/>
        </w:trPr>
        <w:tc>
          <w:tcPr>
            <w:tcW w:w="1276" w:type="dxa"/>
          </w:tcPr>
          <w:p w14:paraId="1B8491E0" w14:textId="77777777" w:rsidR="00372FE9" w:rsidRPr="00372FE9" w:rsidRDefault="00372FE9" w:rsidP="00372FE9">
            <w:pPr>
              <w:rPr>
                <w:sz w:val="20"/>
              </w:rPr>
            </w:pPr>
            <w:r w:rsidRPr="00372FE9">
              <w:rPr>
                <w:noProof/>
                <w:sz w:val="20"/>
                <w:lang w:eastAsia="en-AU"/>
              </w:rPr>
              <w:drawing>
                <wp:inline distT="0" distB="0" distL="0" distR="0" wp14:anchorId="49B65328" wp14:editId="72A0FF11">
                  <wp:extent cx="416966" cy="416966"/>
                  <wp:effectExtent l="0" t="0" r="2540" b="2540"/>
                  <wp:docPr id="3849"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7DD01A9" w14:textId="77777777" w:rsidR="00372FE9" w:rsidRPr="00372FE9" w:rsidRDefault="00372FE9" w:rsidP="00544127">
            <w:pPr>
              <w:pStyle w:val="TableText"/>
            </w:pPr>
            <w:r w:rsidRPr="00372FE9">
              <w:t>Manage Self</w:t>
            </w:r>
          </w:p>
        </w:tc>
        <w:tc>
          <w:tcPr>
            <w:tcW w:w="4851" w:type="dxa"/>
          </w:tcPr>
          <w:p w14:paraId="04958E95" w14:textId="77777777" w:rsidR="00372FE9" w:rsidRPr="00372FE9" w:rsidRDefault="00372FE9" w:rsidP="00544127">
            <w:pPr>
              <w:pStyle w:val="TableText"/>
            </w:pPr>
            <w:r w:rsidRPr="00372FE9">
              <w:t>Show drive and motivation, an ability to self-reflect and a commitment to learning</w:t>
            </w:r>
          </w:p>
        </w:tc>
        <w:tc>
          <w:tcPr>
            <w:tcW w:w="1668" w:type="dxa"/>
          </w:tcPr>
          <w:p w14:paraId="788BA9F7" w14:textId="77777777" w:rsidR="00372FE9" w:rsidRPr="00372FE9" w:rsidRDefault="004C659E" w:rsidP="00544127">
            <w:pPr>
              <w:pStyle w:val="TableText"/>
            </w:pPr>
            <w:r w:rsidRPr="004C659E">
              <w:t>Adept</w:t>
            </w:r>
          </w:p>
        </w:tc>
      </w:tr>
      <w:tr w:rsidR="00372FE9" w:rsidRPr="00372FE9" w14:paraId="220B0D3D" w14:textId="77777777" w:rsidTr="004C659E">
        <w:trPr>
          <w:cantSplit/>
        </w:trPr>
        <w:tc>
          <w:tcPr>
            <w:tcW w:w="1276" w:type="dxa"/>
          </w:tcPr>
          <w:p w14:paraId="3FD5FA9C" w14:textId="77777777" w:rsidR="00372FE9" w:rsidRPr="00372FE9" w:rsidRDefault="00372FE9" w:rsidP="00372FE9">
            <w:pPr>
              <w:rPr>
                <w:sz w:val="20"/>
              </w:rPr>
            </w:pPr>
            <w:r w:rsidRPr="00372FE9">
              <w:rPr>
                <w:noProof/>
                <w:sz w:val="20"/>
                <w:lang w:eastAsia="en-AU"/>
              </w:rPr>
              <w:drawing>
                <wp:inline distT="0" distB="0" distL="0" distR="0" wp14:anchorId="256631B4" wp14:editId="5C8D8A0D">
                  <wp:extent cx="416966" cy="416966"/>
                  <wp:effectExtent l="0" t="0" r="2540" b="2540"/>
                  <wp:docPr id="7434"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EFBF8F5" w14:textId="77777777" w:rsidR="00372FE9" w:rsidRPr="00372FE9" w:rsidRDefault="00372FE9" w:rsidP="00544127">
            <w:pPr>
              <w:pStyle w:val="TableText"/>
            </w:pPr>
            <w:r w:rsidRPr="00372FE9">
              <w:t>Value Diversity and Inclusion</w:t>
            </w:r>
          </w:p>
        </w:tc>
        <w:tc>
          <w:tcPr>
            <w:tcW w:w="4851" w:type="dxa"/>
          </w:tcPr>
          <w:p w14:paraId="738A9103" w14:textId="77777777" w:rsidR="00372FE9" w:rsidRPr="00372FE9" w:rsidRDefault="00372FE9" w:rsidP="00544127">
            <w:pPr>
              <w:pStyle w:val="TableText"/>
            </w:pPr>
            <w:r w:rsidRPr="00372FE9">
              <w:t>Demonstrate inclusive behaviour and show respect for diverse backgrounds, experiences and perspectives</w:t>
            </w:r>
          </w:p>
        </w:tc>
        <w:tc>
          <w:tcPr>
            <w:tcW w:w="1668" w:type="dxa"/>
          </w:tcPr>
          <w:p w14:paraId="25EA2145" w14:textId="77777777" w:rsidR="00372FE9" w:rsidRPr="00372FE9" w:rsidRDefault="004C659E" w:rsidP="00544127">
            <w:pPr>
              <w:pStyle w:val="TableText"/>
            </w:pPr>
            <w:r w:rsidRPr="004C659E">
              <w:t>Adept</w:t>
            </w:r>
          </w:p>
        </w:tc>
      </w:tr>
      <w:tr w:rsidR="00372FE9" w:rsidRPr="00372FE9" w14:paraId="64F1E193" w14:textId="77777777" w:rsidTr="004C659E">
        <w:trPr>
          <w:cantSplit/>
        </w:trPr>
        <w:tc>
          <w:tcPr>
            <w:tcW w:w="1276" w:type="dxa"/>
          </w:tcPr>
          <w:p w14:paraId="1D07A757" w14:textId="77777777" w:rsidR="00372FE9" w:rsidRPr="00372FE9" w:rsidRDefault="00372FE9" w:rsidP="00372FE9">
            <w:pPr>
              <w:rPr>
                <w:sz w:val="20"/>
              </w:rPr>
            </w:pPr>
            <w:r w:rsidRPr="00372FE9">
              <w:rPr>
                <w:noProof/>
                <w:sz w:val="20"/>
                <w:lang w:eastAsia="en-AU"/>
              </w:rPr>
              <w:drawing>
                <wp:inline distT="0" distB="0" distL="0" distR="0" wp14:anchorId="3CF5EF63" wp14:editId="41ED7A90">
                  <wp:extent cx="416966" cy="416966"/>
                  <wp:effectExtent l="0" t="0" r="2540" b="2540"/>
                  <wp:docPr id="5799"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9AB87B3" w14:textId="77777777" w:rsidR="00372FE9" w:rsidRPr="00372FE9" w:rsidRDefault="00372FE9" w:rsidP="00544127">
            <w:pPr>
              <w:pStyle w:val="TableText"/>
            </w:pPr>
            <w:r w:rsidRPr="00372FE9">
              <w:t>Commit to Customer Service</w:t>
            </w:r>
          </w:p>
        </w:tc>
        <w:tc>
          <w:tcPr>
            <w:tcW w:w="4851" w:type="dxa"/>
          </w:tcPr>
          <w:p w14:paraId="5481C8B9" w14:textId="77777777" w:rsidR="00372FE9" w:rsidRPr="00372FE9" w:rsidRDefault="00372FE9" w:rsidP="00544127">
            <w:pPr>
              <w:pStyle w:val="TableText"/>
            </w:pPr>
            <w:r w:rsidRPr="00372FE9">
              <w:t>Provide customer-focused services in line with public sector and organisational objectives</w:t>
            </w:r>
          </w:p>
        </w:tc>
        <w:tc>
          <w:tcPr>
            <w:tcW w:w="1668" w:type="dxa"/>
          </w:tcPr>
          <w:p w14:paraId="11FE543A" w14:textId="77777777" w:rsidR="00372FE9" w:rsidRPr="00372FE9" w:rsidRDefault="004C659E" w:rsidP="00544127">
            <w:pPr>
              <w:pStyle w:val="TableText"/>
            </w:pPr>
            <w:r w:rsidRPr="004C659E">
              <w:t>Adept</w:t>
            </w:r>
          </w:p>
        </w:tc>
      </w:tr>
      <w:tr w:rsidR="00372FE9" w:rsidRPr="00372FE9" w14:paraId="4618C051" w14:textId="77777777" w:rsidTr="004C659E">
        <w:trPr>
          <w:cantSplit/>
        </w:trPr>
        <w:tc>
          <w:tcPr>
            <w:tcW w:w="1276" w:type="dxa"/>
          </w:tcPr>
          <w:p w14:paraId="2E67C08F" w14:textId="77777777" w:rsidR="00372FE9" w:rsidRPr="00372FE9" w:rsidRDefault="00372FE9" w:rsidP="00372FE9">
            <w:pPr>
              <w:rPr>
                <w:sz w:val="20"/>
              </w:rPr>
            </w:pPr>
            <w:r w:rsidRPr="00372FE9">
              <w:rPr>
                <w:noProof/>
                <w:sz w:val="20"/>
                <w:lang w:eastAsia="en-AU"/>
              </w:rPr>
              <w:lastRenderedPageBreak/>
              <w:drawing>
                <wp:inline distT="0" distB="0" distL="0" distR="0" wp14:anchorId="4E83B8BC" wp14:editId="2E52D6A5">
                  <wp:extent cx="416966" cy="416966"/>
                  <wp:effectExtent l="0" t="0" r="2540" b="2540"/>
                  <wp:docPr id="9384"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D5306F6" w14:textId="77777777" w:rsidR="00372FE9" w:rsidRPr="00372FE9" w:rsidRDefault="00372FE9" w:rsidP="00544127">
            <w:pPr>
              <w:pStyle w:val="TableText"/>
            </w:pPr>
            <w:r w:rsidRPr="00372FE9">
              <w:t>Work Collaboratively</w:t>
            </w:r>
          </w:p>
        </w:tc>
        <w:tc>
          <w:tcPr>
            <w:tcW w:w="4851" w:type="dxa"/>
          </w:tcPr>
          <w:p w14:paraId="553F037A" w14:textId="77777777" w:rsidR="00372FE9" w:rsidRPr="00372FE9" w:rsidRDefault="00372FE9" w:rsidP="00544127">
            <w:pPr>
              <w:pStyle w:val="TableText"/>
            </w:pPr>
            <w:r w:rsidRPr="00372FE9">
              <w:t>Collaborate with others and value their contribution</w:t>
            </w:r>
          </w:p>
        </w:tc>
        <w:tc>
          <w:tcPr>
            <w:tcW w:w="1668" w:type="dxa"/>
          </w:tcPr>
          <w:p w14:paraId="6D753FAD" w14:textId="77777777" w:rsidR="00372FE9" w:rsidRPr="00372FE9" w:rsidRDefault="004C659E" w:rsidP="00544127">
            <w:pPr>
              <w:pStyle w:val="TableText"/>
            </w:pPr>
            <w:r w:rsidRPr="004C659E">
              <w:t>Advanced</w:t>
            </w:r>
          </w:p>
        </w:tc>
      </w:tr>
      <w:tr w:rsidR="00372FE9" w:rsidRPr="00372FE9" w14:paraId="53B2120E" w14:textId="77777777" w:rsidTr="004C659E">
        <w:trPr>
          <w:cantSplit/>
        </w:trPr>
        <w:tc>
          <w:tcPr>
            <w:tcW w:w="1276" w:type="dxa"/>
          </w:tcPr>
          <w:p w14:paraId="3E96AFA1" w14:textId="77777777" w:rsidR="00372FE9" w:rsidRPr="00372FE9" w:rsidRDefault="00372FE9" w:rsidP="00372FE9">
            <w:pPr>
              <w:rPr>
                <w:sz w:val="20"/>
              </w:rPr>
            </w:pPr>
            <w:r w:rsidRPr="00372FE9">
              <w:rPr>
                <w:noProof/>
                <w:sz w:val="20"/>
                <w:lang w:eastAsia="en-AU"/>
              </w:rPr>
              <w:drawing>
                <wp:inline distT="0" distB="0" distL="0" distR="0" wp14:anchorId="3B014352" wp14:editId="3A80704A">
                  <wp:extent cx="416966" cy="416966"/>
                  <wp:effectExtent l="0" t="0" r="2540" b="2540"/>
                  <wp:docPr id="2978"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5DC82EA" w14:textId="77777777" w:rsidR="00372FE9" w:rsidRPr="00372FE9" w:rsidRDefault="00372FE9" w:rsidP="00544127">
            <w:pPr>
              <w:pStyle w:val="TableText"/>
            </w:pPr>
            <w:r w:rsidRPr="00372FE9">
              <w:t>Think and Solve Problems</w:t>
            </w:r>
          </w:p>
        </w:tc>
        <w:tc>
          <w:tcPr>
            <w:tcW w:w="4851" w:type="dxa"/>
          </w:tcPr>
          <w:p w14:paraId="67971329" w14:textId="77777777" w:rsidR="00372FE9" w:rsidRPr="00372FE9" w:rsidRDefault="00372FE9" w:rsidP="00544127">
            <w:pPr>
              <w:pStyle w:val="TableText"/>
            </w:pPr>
            <w:r w:rsidRPr="00372FE9">
              <w:t>Think, analyse and consider the broader context to develop practical solutions</w:t>
            </w:r>
          </w:p>
        </w:tc>
        <w:tc>
          <w:tcPr>
            <w:tcW w:w="1668" w:type="dxa"/>
          </w:tcPr>
          <w:p w14:paraId="29C70907" w14:textId="77777777" w:rsidR="00372FE9" w:rsidRPr="00372FE9" w:rsidRDefault="004C659E" w:rsidP="00544127">
            <w:pPr>
              <w:pStyle w:val="TableText"/>
            </w:pPr>
            <w:r w:rsidRPr="004C659E">
              <w:t>Advanced</w:t>
            </w:r>
          </w:p>
        </w:tc>
      </w:tr>
      <w:tr w:rsidR="00372FE9" w:rsidRPr="00372FE9" w14:paraId="67082A3E" w14:textId="77777777" w:rsidTr="004C659E">
        <w:trPr>
          <w:cantSplit/>
        </w:trPr>
        <w:tc>
          <w:tcPr>
            <w:tcW w:w="1276" w:type="dxa"/>
          </w:tcPr>
          <w:p w14:paraId="716B8BFC" w14:textId="77777777" w:rsidR="00372FE9" w:rsidRPr="00372FE9" w:rsidRDefault="00372FE9" w:rsidP="00372FE9">
            <w:pPr>
              <w:rPr>
                <w:sz w:val="20"/>
              </w:rPr>
            </w:pPr>
            <w:r w:rsidRPr="00372FE9">
              <w:rPr>
                <w:noProof/>
                <w:sz w:val="20"/>
                <w:lang w:eastAsia="en-AU"/>
              </w:rPr>
              <w:drawing>
                <wp:inline distT="0" distB="0" distL="0" distR="0" wp14:anchorId="6C609601" wp14:editId="50679D5F">
                  <wp:extent cx="416966" cy="416966"/>
                  <wp:effectExtent l="0" t="0" r="2540" b="2540"/>
                  <wp:docPr id="1344"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5E627C6" w14:textId="77777777" w:rsidR="00372FE9" w:rsidRPr="00372FE9" w:rsidRDefault="00372FE9" w:rsidP="00544127">
            <w:pPr>
              <w:pStyle w:val="TableText"/>
            </w:pPr>
            <w:r w:rsidRPr="00372FE9">
              <w:t>Demonstrate Accountability</w:t>
            </w:r>
          </w:p>
        </w:tc>
        <w:tc>
          <w:tcPr>
            <w:tcW w:w="4851" w:type="dxa"/>
          </w:tcPr>
          <w:p w14:paraId="2990C00E" w14:textId="77777777" w:rsidR="00372FE9" w:rsidRPr="00372FE9" w:rsidRDefault="00372FE9" w:rsidP="00544127">
            <w:pPr>
              <w:pStyle w:val="TableText"/>
            </w:pPr>
            <w:r w:rsidRPr="00372FE9">
              <w:t>Be proactive and responsible for own actions, and adhere to legislation, policy and guidelines</w:t>
            </w:r>
          </w:p>
        </w:tc>
        <w:tc>
          <w:tcPr>
            <w:tcW w:w="1668" w:type="dxa"/>
          </w:tcPr>
          <w:p w14:paraId="3124ACDB" w14:textId="77777777" w:rsidR="00372FE9" w:rsidRPr="00372FE9" w:rsidRDefault="004C659E" w:rsidP="00544127">
            <w:pPr>
              <w:pStyle w:val="TableText"/>
            </w:pPr>
            <w:r w:rsidRPr="004C659E">
              <w:t>Adept</w:t>
            </w:r>
          </w:p>
        </w:tc>
      </w:tr>
      <w:tr w:rsidR="00372FE9" w:rsidRPr="00372FE9" w14:paraId="29595BE2" w14:textId="77777777" w:rsidTr="004C659E">
        <w:trPr>
          <w:cantSplit/>
        </w:trPr>
        <w:tc>
          <w:tcPr>
            <w:tcW w:w="1276" w:type="dxa"/>
          </w:tcPr>
          <w:p w14:paraId="3F4980D0" w14:textId="77777777" w:rsidR="00372FE9" w:rsidRPr="00372FE9" w:rsidRDefault="00372FE9" w:rsidP="00372FE9">
            <w:pPr>
              <w:rPr>
                <w:sz w:val="20"/>
              </w:rPr>
            </w:pPr>
            <w:r w:rsidRPr="00372FE9">
              <w:rPr>
                <w:noProof/>
                <w:sz w:val="20"/>
                <w:lang w:eastAsia="en-AU"/>
              </w:rPr>
              <w:drawing>
                <wp:inline distT="0" distB="0" distL="0" distR="0" wp14:anchorId="320D2CD7" wp14:editId="3E7DFA17">
                  <wp:extent cx="416966" cy="416966"/>
                  <wp:effectExtent l="0" t="0" r="2540" b="2540"/>
                  <wp:docPr id="4928"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1DF81CF" w14:textId="77777777" w:rsidR="00372FE9" w:rsidRPr="00372FE9" w:rsidRDefault="00372FE9" w:rsidP="00544127">
            <w:pPr>
              <w:pStyle w:val="TableText"/>
            </w:pPr>
            <w:r w:rsidRPr="00372FE9">
              <w:t>Technology</w:t>
            </w:r>
          </w:p>
        </w:tc>
        <w:tc>
          <w:tcPr>
            <w:tcW w:w="4851" w:type="dxa"/>
          </w:tcPr>
          <w:p w14:paraId="7683984B" w14:textId="77777777" w:rsidR="00372FE9" w:rsidRPr="00372FE9" w:rsidRDefault="00372FE9" w:rsidP="00544127">
            <w:pPr>
              <w:pStyle w:val="TableText"/>
            </w:pPr>
            <w:r w:rsidRPr="00372FE9">
              <w:t>Understand and use available technologies to maximise efficiencies and effectiveness</w:t>
            </w:r>
          </w:p>
        </w:tc>
        <w:tc>
          <w:tcPr>
            <w:tcW w:w="1668" w:type="dxa"/>
          </w:tcPr>
          <w:p w14:paraId="31767AFF" w14:textId="77777777" w:rsidR="00372FE9" w:rsidRPr="00372FE9" w:rsidRDefault="004C659E" w:rsidP="00544127">
            <w:pPr>
              <w:pStyle w:val="TableText"/>
            </w:pPr>
            <w:r w:rsidRPr="004C659E">
              <w:t>Adept</w:t>
            </w:r>
          </w:p>
        </w:tc>
      </w:tr>
      <w:tr w:rsidR="00372FE9" w:rsidRPr="00372FE9" w14:paraId="4F32B82F" w14:textId="77777777" w:rsidTr="004C659E">
        <w:trPr>
          <w:cantSplit/>
        </w:trPr>
        <w:tc>
          <w:tcPr>
            <w:tcW w:w="1276" w:type="dxa"/>
          </w:tcPr>
          <w:p w14:paraId="6426BF5F" w14:textId="77777777" w:rsidR="00372FE9" w:rsidRPr="00372FE9" w:rsidRDefault="00372FE9" w:rsidP="00372FE9">
            <w:pPr>
              <w:rPr>
                <w:sz w:val="20"/>
              </w:rPr>
            </w:pPr>
            <w:r w:rsidRPr="00372FE9">
              <w:rPr>
                <w:noProof/>
                <w:sz w:val="20"/>
                <w:lang w:eastAsia="en-AU"/>
              </w:rPr>
              <w:drawing>
                <wp:inline distT="0" distB="0" distL="0" distR="0" wp14:anchorId="01F010DD" wp14:editId="71C38CDA">
                  <wp:extent cx="416966" cy="416966"/>
                  <wp:effectExtent l="0" t="0" r="2540" b="2540"/>
                  <wp:docPr id="3294"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D888A49" w14:textId="77777777" w:rsidR="00372FE9" w:rsidRPr="00372FE9" w:rsidRDefault="00372FE9" w:rsidP="00544127">
            <w:pPr>
              <w:pStyle w:val="TableText"/>
            </w:pPr>
            <w:r w:rsidRPr="00372FE9">
              <w:t>Procurement and Contract Management</w:t>
            </w:r>
          </w:p>
        </w:tc>
        <w:tc>
          <w:tcPr>
            <w:tcW w:w="4851" w:type="dxa"/>
          </w:tcPr>
          <w:p w14:paraId="3A2DE624" w14:textId="77777777" w:rsidR="00372FE9" w:rsidRPr="00372FE9" w:rsidRDefault="00372FE9" w:rsidP="00544127">
            <w:pPr>
              <w:pStyle w:val="TableText"/>
            </w:pPr>
            <w:r w:rsidRPr="00372FE9">
              <w:t>Understand and apply procurement processes to ensure effective purchasing and contract performance</w:t>
            </w:r>
          </w:p>
        </w:tc>
        <w:tc>
          <w:tcPr>
            <w:tcW w:w="1668" w:type="dxa"/>
          </w:tcPr>
          <w:p w14:paraId="0DE2C1D5" w14:textId="77777777" w:rsidR="00372FE9" w:rsidRPr="00372FE9" w:rsidRDefault="004C659E" w:rsidP="00544127">
            <w:pPr>
              <w:pStyle w:val="TableText"/>
            </w:pPr>
            <w:r w:rsidRPr="004C659E">
              <w:t>Advanced</w:t>
            </w:r>
          </w:p>
        </w:tc>
      </w:tr>
      <w:tr w:rsidR="00372FE9" w:rsidRPr="00372FE9" w14:paraId="5F8FE47C" w14:textId="77777777" w:rsidTr="004C659E">
        <w:trPr>
          <w:cantSplit/>
        </w:trPr>
        <w:tc>
          <w:tcPr>
            <w:tcW w:w="1276" w:type="dxa"/>
          </w:tcPr>
          <w:p w14:paraId="67D0B891" w14:textId="77777777" w:rsidR="00372FE9" w:rsidRPr="00372FE9" w:rsidRDefault="00372FE9" w:rsidP="00372FE9">
            <w:pPr>
              <w:rPr>
                <w:sz w:val="20"/>
              </w:rPr>
            </w:pPr>
            <w:r w:rsidRPr="00372FE9">
              <w:rPr>
                <w:noProof/>
                <w:sz w:val="20"/>
                <w:lang w:eastAsia="en-AU"/>
              </w:rPr>
              <w:drawing>
                <wp:inline distT="0" distB="0" distL="0" distR="0" wp14:anchorId="75FF8B98" wp14:editId="679B357C">
                  <wp:extent cx="416966" cy="416966"/>
                  <wp:effectExtent l="0" t="0" r="2540" b="2540"/>
                  <wp:docPr id="6878"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D45762E" w14:textId="77777777" w:rsidR="00372FE9" w:rsidRPr="00372FE9" w:rsidRDefault="00372FE9" w:rsidP="00544127">
            <w:pPr>
              <w:pStyle w:val="TableText"/>
            </w:pPr>
            <w:r w:rsidRPr="00372FE9">
              <w:t>Inspire Direction and Purpose</w:t>
            </w:r>
          </w:p>
        </w:tc>
        <w:tc>
          <w:tcPr>
            <w:tcW w:w="4851" w:type="dxa"/>
          </w:tcPr>
          <w:p w14:paraId="7CD3A4F0" w14:textId="77777777" w:rsidR="00372FE9" w:rsidRPr="00372FE9" w:rsidRDefault="00372FE9" w:rsidP="00544127">
            <w:pPr>
              <w:pStyle w:val="TableText"/>
            </w:pPr>
            <w:r w:rsidRPr="00372FE9">
              <w:t>Communicate goals, priorities and vision, and recognise achievements</w:t>
            </w:r>
          </w:p>
        </w:tc>
        <w:tc>
          <w:tcPr>
            <w:tcW w:w="1668" w:type="dxa"/>
          </w:tcPr>
          <w:p w14:paraId="5E6B9069" w14:textId="77777777" w:rsidR="00372FE9" w:rsidRPr="00372FE9" w:rsidRDefault="004C659E" w:rsidP="00544127">
            <w:pPr>
              <w:pStyle w:val="TableText"/>
            </w:pPr>
            <w:r w:rsidRPr="004C659E">
              <w:t>Adept</w:t>
            </w:r>
          </w:p>
        </w:tc>
      </w:tr>
      <w:tr w:rsidR="00372FE9" w:rsidRPr="00372FE9" w14:paraId="27C3C390" w14:textId="77777777" w:rsidTr="004C659E">
        <w:trPr>
          <w:cantSplit/>
        </w:trPr>
        <w:tc>
          <w:tcPr>
            <w:tcW w:w="1276" w:type="dxa"/>
          </w:tcPr>
          <w:p w14:paraId="2E3D48CF" w14:textId="77777777" w:rsidR="00372FE9" w:rsidRPr="00372FE9" w:rsidRDefault="00372FE9" w:rsidP="00372FE9">
            <w:pPr>
              <w:rPr>
                <w:sz w:val="20"/>
              </w:rPr>
            </w:pPr>
            <w:r w:rsidRPr="00372FE9">
              <w:rPr>
                <w:noProof/>
                <w:sz w:val="20"/>
                <w:lang w:eastAsia="en-AU"/>
              </w:rPr>
              <w:drawing>
                <wp:inline distT="0" distB="0" distL="0" distR="0" wp14:anchorId="485FCC35" wp14:editId="1E29F841">
                  <wp:extent cx="416966" cy="416966"/>
                  <wp:effectExtent l="0" t="0" r="2540" b="2540"/>
                  <wp:docPr id="473"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01EE5ED" w14:textId="77777777" w:rsidR="00372FE9" w:rsidRPr="00372FE9" w:rsidRDefault="00372FE9" w:rsidP="00544127">
            <w:pPr>
              <w:pStyle w:val="TableText"/>
            </w:pPr>
            <w:r w:rsidRPr="00372FE9">
              <w:t>Manage Reform and Change</w:t>
            </w:r>
          </w:p>
        </w:tc>
        <w:tc>
          <w:tcPr>
            <w:tcW w:w="4851" w:type="dxa"/>
          </w:tcPr>
          <w:p w14:paraId="3C675578" w14:textId="77777777" w:rsidR="00372FE9" w:rsidRPr="00372FE9" w:rsidRDefault="00372FE9" w:rsidP="00544127">
            <w:pPr>
              <w:pStyle w:val="TableText"/>
            </w:pPr>
            <w:r w:rsidRPr="00372FE9">
              <w:t>Support, promote and champion change, and assist others to engage with change</w:t>
            </w:r>
          </w:p>
        </w:tc>
        <w:tc>
          <w:tcPr>
            <w:tcW w:w="1668" w:type="dxa"/>
          </w:tcPr>
          <w:p w14:paraId="6346A20D" w14:textId="77777777" w:rsidR="00372FE9" w:rsidRPr="00372FE9" w:rsidRDefault="004C659E" w:rsidP="00544127">
            <w:pPr>
              <w:pStyle w:val="TableText"/>
            </w:pPr>
            <w:r w:rsidRPr="004C659E">
              <w:t>Adept</w:t>
            </w:r>
          </w:p>
        </w:tc>
      </w:tr>
    </w:tbl>
    <w:bookmarkEnd w:id="6"/>
    <w:bookmarkEnd w:id="7"/>
    <w:bookmarkEnd w:id="8"/>
    <w:bookmarkEnd w:id="9"/>
    <w:p w14:paraId="16099EBE" w14:textId="77777777" w:rsidR="00BC5926" w:rsidRDefault="00BC5926" w:rsidP="00BC5926">
      <w:pPr>
        <w:pStyle w:val="Heading2"/>
      </w:pPr>
      <w:r w:rsidRPr="00AF4777">
        <w:t>Occupational Specific</w:t>
      </w:r>
      <w:r>
        <w:t xml:space="preserve"> Complimentary</w:t>
      </w:r>
      <w:r w:rsidRPr="00AF4777">
        <w:t xml:space="preserve"> Capabilities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OccupationalSpecificComplimentaryCapabilitiesTable"/>
      </w:tblPr>
      <w:tblGrid>
        <w:gridCol w:w="1464"/>
        <w:gridCol w:w="2852"/>
        <w:gridCol w:w="4901"/>
        <w:gridCol w:w="1271"/>
      </w:tblGrid>
      <w:tr w:rsidR="00BC5926" w:rsidRPr="00372FE9" w14:paraId="6F26A286" w14:textId="77777777" w:rsidTr="00D0350D">
        <w:trPr>
          <w:cnfStyle w:val="100000000000" w:firstRow="1" w:lastRow="0" w:firstColumn="0" w:lastColumn="0" w:oddVBand="0" w:evenVBand="0" w:oddHBand="0" w:evenHBand="0" w:firstRowFirstColumn="0" w:firstRowLastColumn="0" w:lastRowFirstColumn="0" w:lastRowLastColumn="0"/>
          <w:cantSplit/>
        </w:trPr>
        <w:tc>
          <w:tcPr>
            <w:tcW w:w="1464" w:type="dxa"/>
            <w:shd w:val="clear" w:color="auto" w:fill="BFBFBF" w:themeFill="background1" w:themeFillShade="BF"/>
            <w:vAlign w:val="center"/>
          </w:tcPr>
          <w:p w14:paraId="0A1B9AE5" w14:textId="77777777" w:rsidR="00BC5926" w:rsidRPr="00372FE9" w:rsidRDefault="00BC5926" w:rsidP="00D0350D">
            <w:pPr>
              <w:rPr>
                <w:sz w:val="20"/>
              </w:rPr>
            </w:pPr>
            <w:r w:rsidRPr="00372FE9">
              <w:rPr>
                <w:b/>
                <w:sz w:val="20"/>
              </w:rPr>
              <w:t>Capability group/sets</w:t>
            </w:r>
          </w:p>
        </w:tc>
        <w:tc>
          <w:tcPr>
            <w:tcW w:w="2852" w:type="dxa"/>
            <w:shd w:val="clear" w:color="auto" w:fill="BFBFBF" w:themeFill="background1" w:themeFillShade="BF"/>
          </w:tcPr>
          <w:p w14:paraId="6011FBB0" w14:textId="77777777" w:rsidR="00BC5926" w:rsidRPr="00372FE9" w:rsidRDefault="00BC5926" w:rsidP="00D0350D">
            <w:pPr>
              <w:rPr>
                <w:sz w:val="20"/>
              </w:rPr>
            </w:pPr>
            <w:r w:rsidRPr="00372FE9">
              <w:rPr>
                <w:b/>
                <w:sz w:val="20"/>
              </w:rPr>
              <w:t>Capability name</w:t>
            </w:r>
          </w:p>
        </w:tc>
        <w:tc>
          <w:tcPr>
            <w:tcW w:w="4901" w:type="dxa"/>
            <w:shd w:val="clear" w:color="auto" w:fill="BFBFBF" w:themeFill="background1" w:themeFillShade="BF"/>
          </w:tcPr>
          <w:p w14:paraId="2CF16721" w14:textId="77777777" w:rsidR="00BC5926" w:rsidRPr="00372FE9" w:rsidRDefault="00BC5926" w:rsidP="00D0350D">
            <w:pPr>
              <w:rPr>
                <w:sz w:val="20"/>
              </w:rPr>
            </w:pPr>
            <w:r w:rsidRPr="00372FE9">
              <w:rPr>
                <w:b/>
                <w:sz w:val="20"/>
              </w:rPr>
              <w:t>Description</w:t>
            </w:r>
          </w:p>
        </w:tc>
        <w:tc>
          <w:tcPr>
            <w:tcW w:w="1271" w:type="dxa"/>
            <w:shd w:val="clear" w:color="auto" w:fill="BFBFBF" w:themeFill="background1" w:themeFillShade="BF"/>
          </w:tcPr>
          <w:p w14:paraId="440E2ECF" w14:textId="77777777" w:rsidR="00BC5926" w:rsidRPr="00372FE9" w:rsidRDefault="00BC5926" w:rsidP="00D0350D">
            <w:pPr>
              <w:rPr>
                <w:b/>
                <w:bCs/>
                <w:sz w:val="20"/>
              </w:rPr>
            </w:pPr>
            <w:r w:rsidRPr="00372FE9">
              <w:rPr>
                <w:b/>
                <w:bCs/>
                <w:sz w:val="20"/>
              </w:rPr>
              <w:t>Level</w:t>
            </w:r>
          </w:p>
        </w:tc>
      </w:tr>
      <w:tr w:rsidR="00BC5926" w:rsidRPr="00372FE9" w14:paraId="5ED2F2D3" w14:textId="77777777" w:rsidTr="00D0350D">
        <w:trPr>
          <w:cantSplit/>
        </w:trPr>
        <w:tc>
          <w:tcPr>
            <w:tcW w:w="1464" w:type="dxa"/>
          </w:tcPr>
          <w:p w14:paraId="3835DB07" w14:textId="77777777" w:rsidR="00BC5926" w:rsidRPr="00372FE9" w:rsidRDefault="00BC5926" w:rsidP="00D0350D">
            <w:pPr>
              <w:rPr>
                <w:sz w:val="20"/>
              </w:rPr>
            </w:pPr>
            <w:r w:rsidRPr="00C978B9">
              <w:rPr>
                <w:noProof/>
                <w:lang w:eastAsia="en-AU"/>
              </w:rPr>
              <w:drawing>
                <wp:inline distT="0" distB="0" distL="0" distR="0" wp14:anchorId="5BD599E1" wp14:editId="2C7D2681">
                  <wp:extent cx="704850" cy="704850"/>
                  <wp:effectExtent l="0" t="0" r="0" b="0"/>
                  <wp:docPr id="1249" name="finance-professionals-capability-set.jpg" descr="finance-professionals-capability-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nance-professionals-capability-set.jpg" descr="Finance logo"/>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12139" cy="712139"/>
                          </a:xfrm>
                          <a:prstGeom prst="rect">
                            <a:avLst/>
                          </a:prstGeom>
                          <a:noFill/>
                          <a:ln>
                            <a:noFill/>
                          </a:ln>
                        </pic:spPr>
                      </pic:pic>
                    </a:graphicData>
                  </a:graphic>
                </wp:inline>
              </w:drawing>
            </w:r>
          </w:p>
        </w:tc>
        <w:tc>
          <w:tcPr>
            <w:tcW w:w="2852" w:type="dxa"/>
          </w:tcPr>
          <w:p w14:paraId="05206833" w14:textId="77777777" w:rsidR="00BC5926" w:rsidRPr="00DA6BE6" w:rsidRDefault="00BC5926" w:rsidP="00D0350D">
            <w:pPr>
              <w:pStyle w:val="TableText"/>
            </w:pPr>
            <w:r w:rsidRPr="00DA6BE6">
              <w:t>Audit and Assurance</w:t>
            </w:r>
          </w:p>
        </w:tc>
        <w:tc>
          <w:tcPr>
            <w:tcW w:w="4901" w:type="dxa"/>
          </w:tcPr>
          <w:p w14:paraId="474A1909" w14:textId="77777777" w:rsidR="00BC5926" w:rsidRPr="00372FE9" w:rsidRDefault="00BC5926" w:rsidP="00D0350D">
            <w:pPr>
              <w:pStyle w:val="TableText"/>
            </w:pPr>
            <w:r>
              <w:t>Evaluate overall governance frameworks, financial and program information systems, and internal controls and practices to identify potential deficiencies or opportunities</w:t>
            </w:r>
          </w:p>
        </w:tc>
        <w:tc>
          <w:tcPr>
            <w:tcW w:w="1271" w:type="dxa"/>
          </w:tcPr>
          <w:p w14:paraId="00AF4411" w14:textId="77777777" w:rsidR="00BC5926" w:rsidRPr="00372FE9" w:rsidRDefault="00BC5926" w:rsidP="00D0350D">
            <w:pPr>
              <w:pStyle w:val="TableText"/>
            </w:pPr>
            <w:r>
              <w:t>Level 3</w:t>
            </w:r>
          </w:p>
        </w:tc>
      </w:tr>
      <w:tr w:rsidR="00BC5926" w:rsidRPr="00372FE9" w14:paraId="704F39AA" w14:textId="77777777" w:rsidTr="00D0350D">
        <w:trPr>
          <w:cantSplit/>
        </w:trPr>
        <w:tc>
          <w:tcPr>
            <w:tcW w:w="1464" w:type="dxa"/>
          </w:tcPr>
          <w:p w14:paraId="5DBA80C3" w14:textId="77777777" w:rsidR="00BC5926" w:rsidRPr="00372FE9" w:rsidRDefault="00BC5926" w:rsidP="00D0350D">
            <w:pPr>
              <w:rPr>
                <w:sz w:val="20"/>
              </w:rPr>
            </w:pPr>
            <w:r w:rsidRPr="00C978B9">
              <w:rPr>
                <w:noProof/>
                <w:lang w:eastAsia="en-AU"/>
              </w:rPr>
              <w:drawing>
                <wp:inline distT="0" distB="0" distL="0" distR="0" wp14:anchorId="583AED91" wp14:editId="67B8B12F">
                  <wp:extent cx="704850" cy="704850"/>
                  <wp:effectExtent l="0" t="0" r="0" b="0"/>
                  <wp:docPr id="4833" name="finance-professionals-capability-set.jpg" descr="finance-professionals-capability-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nance-professionals-capability-set.jpg" descr="Finance logo"/>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12139" cy="712139"/>
                          </a:xfrm>
                          <a:prstGeom prst="rect">
                            <a:avLst/>
                          </a:prstGeom>
                          <a:noFill/>
                          <a:ln>
                            <a:noFill/>
                          </a:ln>
                        </pic:spPr>
                      </pic:pic>
                    </a:graphicData>
                  </a:graphic>
                </wp:inline>
              </w:drawing>
            </w:r>
          </w:p>
        </w:tc>
        <w:tc>
          <w:tcPr>
            <w:tcW w:w="2852" w:type="dxa"/>
          </w:tcPr>
          <w:p w14:paraId="56EAA4A9" w14:textId="77777777" w:rsidR="00BC5926" w:rsidRPr="00DA6BE6" w:rsidRDefault="00BC5926" w:rsidP="00D0350D">
            <w:pPr>
              <w:pStyle w:val="TableText"/>
            </w:pPr>
            <w:r w:rsidRPr="00DA6BE6">
              <w:t>Finance Operations and Systems</w:t>
            </w:r>
          </w:p>
        </w:tc>
        <w:tc>
          <w:tcPr>
            <w:tcW w:w="4901" w:type="dxa"/>
          </w:tcPr>
          <w:p w14:paraId="02BBCFD9" w14:textId="77777777" w:rsidR="00BC5926" w:rsidRPr="00372FE9" w:rsidRDefault="00BC5926" w:rsidP="00D0350D">
            <w:pPr>
              <w:pStyle w:val="TableText"/>
            </w:pPr>
            <w:r>
              <w:t>Ensure appropriateness and reliability of financial information systems, and effective governance, cash management and controls over transactional processes</w:t>
            </w:r>
          </w:p>
        </w:tc>
        <w:tc>
          <w:tcPr>
            <w:tcW w:w="1271" w:type="dxa"/>
          </w:tcPr>
          <w:p w14:paraId="7A21733F" w14:textId="77777777" w:rsidR="00BC5926" w:rsidRPr="00372FE9" w:rsidRDefault="00BC5926" w:rsidP="00D0350D">
            <w:pPr>
              <w:pStyle w:val="TableText"/>
            </w:pPr>
            <w:r>
              <w:t>Level 3</w:t>
            </w:r>
          </w:p>
        </w:tc>
      </w:tr>
    </w:tbl>
    <w:p w14:paraId="2A641064" w14:textId="77777777" w:rsidR="00BC5926" w:rsidRDefault="00BC5926" w:rsidP="00BC5926">
      <w:pPr>
        <w:contextualSpacing/>
      </w:pPr>
    </w:p>
    <w:p w14:paraId="26E2A5DE" w14:textId="77777777" w:rsidR="00BC5926" w:rsidRDefault="00BC5926" w:rsidP="001203EE">
      <w:pPr>
        <w:contextualSpacing/>
      </w:pPr>
    </w:p>
    <w:sectPr w:rsidR="00BC5926" w:rsidSect="00115AF2">
      <w:footerReference w:type="default" r:id="rId20"/>
      <w:footerReference w:type="first" r:id="rId21"/>
      <w:type w:val="continuous"/>
      <w:pgSz w:w="11906" w:h="16838"/>
      <w:pgMar w:top="709" w:right="709" w:bottom="1418" w:left="709"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8DE8B" w14:textId="77777777" w:rsidR="008E563F" w:rsidRDefault="008E563F" w:rsidP="00AC273D">
      <w:pPr>
        <w:spacing w:after="0"/>
      </w:pPr>
      <w:r>
        <w:separator/>
      </w:r>
    </w:p>
  </w:endnote>
  <w:endnote w:type="continuationSeparator" w:id="0">
    <w:p w14:paraId="75AC5A13" w14:textId="77777777" w:rsidR="008E563F" w:rsidRDefault="008E563F" w:rsidP="00AC273D">
      <w:pPr>
        <w:spacing w:after="0"/>
      </w:pPr>
      <w:r>
        <w:continuationSeparator/>
      </w:r>
    </w:p>
  </w:endnote>
  <w:endnote w:type="continuationNotice" w:id="1">
    <w:p w14:paraId="128B3F75" w14:textId="77777777" w:rsidR="008E563F" w:rsidRDefault="008E56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charset w:val="00"/>
    <w:family w:val="swiss"/>
    <w:pitch w:val="variable"/>
    <w:sig w:usb0="A00000E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0110" w14:textId="179D2955" w:rsidR="00115AF2" w:rsidRDefault="00115AF2" w:rsidP="00F20050">
    <w:pPr>
      <w:pStyle w:val="Footer"/>
      <w:tabs>
        <w:tab w:val="clear" w:pos="4513"/>
        <w:tab w:val="center" w:pos="5103"/>
      </w:tabs>
    </w:pPr>
    <w:r w:rsidRPr="00E97E4E">
      <w:rPr>
        <w:color w:val="262626" w:themeColor="text1" w:themeTint="D9"/>
      </w:rPr>
      <w:t>Role Description</w:t>
    </w:r>
    <w:r w:rsidR="00E0611D">
      <w:rPr>
        <w:color w:val="262626" w:themeColor="text1" w:themeTint="D9"/>
      </w:rPr>
      <w:t>:</w:t>
    </w:r>
    <w:r w:rsidRPr="00E97E4E">
      <w:rPr>
        <w:color w:val="262626" w:themeColor="text1" w:themeTint="D9"/>
      </w:rPr>
      <w:t xml:space="preserve"> </w:t>
    </w:r>
    <w:r w:rsidR="009E4A5D" w:rsidRPr="00F20050">
      <w:rPr>
        <w:color w:val="262626" w:themeColor="text1" w:themeTint="D9"/>
      </w:rPr>
      <w:t>Chief Financial Officer</w:t>
    </w:r>
    <w:r w:rsidR="00E0611D">
      <w:rPr>
        <w:color w:val="262626" w:themeColor="text1" w:themeTint="D9"/>
      </w:rPr>
      <w:t>,</w:t>
    </w:r>
    <w:r w:rsidR="009E4A5D" w:rsidRPr="00F20050">
      <w:rPr>
        <w:color w:val="262626" w:themeColor="text1" w:themeTint="D9"/>
      </w:rPr>
      <w:t xml:space="preserve"> </w:t>
    </w:r>
    <w:r w:rsidR="00E0611D">
      <w:rPr>
        <w:color w:val="262626" w:themeColor="text1" w:themeTint="D9"/>
      </w:rPr>
      <w:t>PD</w:t>
    </w:r>
    <w:r w:rsidR="009E4A5D" w:rsidRPr="00F20050">
      <w:rPr>
        <w:color w:val="262626" w:themeColor="text1" w:themeTint="D9"/>
      </w:rPr>
      <w:t>NSW</w:t>
    </w:r>
    <w:r>
      <w:rPr>
        <w:noProof/>
        <w:lang w:eastAsia="en-AU"/>
      </w:rPr>
      <w:tab/>
    </w:r>
    <w:r w:rsidRPr="008D6E7A">
      <w:rPr>
        <w:noProof/>
        <w:color w:val="auto"/>
        <w:lang w:eastAsia="en-AU"/>
      </w:rPr>
      <w:fldChar w:fldCharType="begin"/>
    </w:r>
    <w:r w:rsidRPr="008D6E7A">
      <w:rPr>
        <w:noProof/>
        <w:color w:val="auto"/>
        <w:lang w:eastAsia="en-AU"/>
      </w:rPr>
      <w:instrText xml:space="preserve"> PAGE  \* Arabic </w:instrText>
    </w:r>
    <w:r w:rsidRPr="008D6E7A">
      <w:rPr>
        <w:noProof/>
        <w:color w:val="auto"/>
        <w:lang w:eastAsia="en-AU"/>
      </w:rPr>
      <w:fldChar w:fldCharType="separate"/>
    </w:r>
    <w:r w:rsidR="0083736A">
      <w:rPr>
        <w:noProof/>
        <w:color w:val="auto"/>
        <w:lang w:eastAsia="en-AU"/>
      </w:rPr>
      <w:t>1</w:t>
    </w:r>
    <w:r w:rsidRPr="008D6E7A">
      <w:rPr>
        <w:noProof/>
        <w:color w:val="auto"/>
        <w:lang w:eastAsia="en-AU"/>
      </w:rPr>
      <w:fldChar w:fldCharType="end"/>
    </w:r>
    <w:r>
      <w:rPr>
        <w:noProof/>
        <w:lang w:eastAsia="en-AU"/>
      </w:rPr>
      <w:tab/>
    </w:r>
    <w:r>
      <w:rPr>
        <w:noProof/>
        <w:lang w:eastAsia="en-AU"/>
      </w:rPr>
      <w:tab/>
    </w:r>
    <w:r w:rsidR="009A6687">
      <w:rPr>
        <w:noProof/>
        <w:lang w:eastAsia="en-AU"/>
      </w:rPr>
      <w:drawing>
        <wp:inline distT="0" distB="0" distL="0" distR="0" wp14:anchorId="5B7413A4" wp14:editId="0F224FED">
          <wp:extent cx="509651" cy="536866"/>
          <wp:effectExtent l="0" t="0" r="5080" b="0"/>
          <wp:docPr id="3" name="Picture 3"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 cy="562351"/>
                  </a:xfrm>
                  <a:prstGeom prst="rect">
                    <a:avLst/>
                  </a:prstGeom>
                  <a:noFill/>
                  <a:ln>
                    <a:noFill/>
                  </a:ln>
                </pic:spPr>
              </pic:pic>
            </a:graphicData>
          </a:graphic>
        </wp:inline>
      </w:drawing>
    </w:r>
  </w:p>
  <w:p w14:paraId="6FBE8A71" w14:textId="77777777" w:rsidR="00A90F97" w:rsidRPr="001E2B26" w:rsidRDefault="00A90F97" w:rsidP="00051237">
    <w:pPr>
      <w:pStyle w:val="Footer"/>
      <w:rPr>
        <w:sz w:val="12"/>
        <w:szCs w:val="12"/>
      </w:rPr>
    </w:pPr>
  </w:p>
  <w:p w14:paraId="7BD203C3" w14:textId="77777777" w:rsidR="004210AA" w:rsidRDefault="004210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8189" w14:textId="77777777" w:rsidR="00115AF2" w:rsidRPr="00E97E4E" w:rsidRDefault="00115AF2" w:rsidP="00115AF2">
    <w:pPr>
      <w:pStyle w:val="Footer"/>
      <w:tabs>
        <w:tab w:val="clear" w:pos="4513"/>
        <w:tab w:val="center" w:pos="5103"/>
      </w:tabs>
      <w:rPr>
        <w:noProof/>
        <w:vanish/>
        <w:color w:val="262626" w:themeColor="text1" w:themeTint="D9"/>
        <w:lang w:eastAsia="en-AU"/>
        <w:specVanish/>
      </w:rPr>
    </w:pPr>
    <w:r w:rsidRPr="00E97E4E">
      <w:rPr>
        <w:color w:val="262626" w:themeColor="text1" w:themeTint="D9"/>
      </w:rPr>
      <w:t xml:space="preserve">Role Description </w:t>
    </w:r>
  </w:p>
  <w:p w14:paraId="3FF63F22" w14:textId="77777777" w:rsidR="00A90F97" w:rsidRDefault="00115AF2" w:rsidP="00115AF2">
    <w:pPr>
      <w:pStyle w:val="Footer"/>
      <w:tabs>
        <w:tab w:val="clear" w:pos="4513"/>
        <w:tab w:val="clear" w:pos="9026"/>
        <w:tab w:val="center" w:pos="5103"/>
        <w:tab w:val="right" w:pos="10488"/>
      </w:tabs>
    </w:pPr>
    <w:r w:rsidRPr="00E97E4E">
      <w:rPr>
        <w:color w:val="262626" w:themeColor="text1" w:themeTint="D9"/>
      </w:rPr>
      <w:t>Accountant</w:t>
    </w:r>
    <w:r>
      <w:rPr>
        <w:noProof/>
        <w:lang w:eastAsia="en-AU"/>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r>
      <w:rPr>
        <w:noProof/>
        <w:lang w:eastAsia="en-AU"/>
      </w:rPr>
      <w:tab/>
    </w:r>
    <w:r>
      <w:rPr>
        <w:noProof/>
        <w:lang w:eastAsia="en-AU"/>
      </w:rPr>
      <w:tab/>
    </w:r>
    <w:r>
      <w:rPr>
        <w:noProof/>
        <w:lang w:eastAsia="en-AU"/>
      </w:rPr>
      <w:drawing>
        <wp:inline distT="0" distB="0" distL="0" distR="0" wp14:anchorId="3260E64E" wp14:editId="4A700272">
          <wp:extent cx="432000" cy="452144"/>
          <wp:effectExtent l="0" t="0" r="6350" b="5080"/>
          <wp:docPr id="17" name="Picture 17"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64E0D770" w14:textId="77777777" w:rsidR="004210AA" w:rsidRDefault="004210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A2D46" w14:textId="77777777" w:rsidR="008E563F" w:rsidRDefault="008E563F" w:rsidP="00AC273D">
      <w:pPr>
        <w:spacing w:after="0"/>
      </w:pPr>
      <w:r>
        <w:separator/>
      </w:r>
    </w:p>
  </w:footnote>
  <w:footnote w:type="continuationSeparator" w:id="0">
    <w:p w14:paraId="0BB40442" w14:textId="77777777" w:rsidR="008E563F" w:rsidRDefault="008E563F" w:rsidP="00AC273D">
      <w:pPr>
        <w:spacing w:after="0"/>
      </w:pPr>
      <w:r>
        <w:continuationSeparator/>
      </w:r>
    </w:p>
  </w:footnote>
  <w:footnote w:type="continuationNotice" w:id="1">
    <w:p w14:paraId="5DE8EB41" w14:textId="77777777" w:rsidR="008E563F" w:rsidRDefault="008E563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pt;height:22pt" o:bullet="t">
        <v:imagedata r:id="rId1" o:title="bullet"/>
      </v:shape>
    </w:pict>
  </w:numPicBullet>
  <w:abstractNum w:abstractNumId="0" w15:restartNumberingAfterBreak="0">
    <w:nsid w:val="E191A7AB"/>
    <w:multiLevelType w:val="hybridMultilevel"/>
    <w:tmpl w:val="3BD540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B9B734"/>
    <w:multiLevelType w:val="hybridMultilevel"/>
    <w:tmpl w:val="D49A06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5"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6"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C318FE74"/>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4B079BD"/>
    <w:multiLevelType w:val="hybridMultilevel"/>
    <w:tmpl w:val="33A6B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977B20"/>
    <w:multiLevelType w:val="hybridMultilevel"/>
    <w:tmpl w:val="9B80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ED038F"/>
    <w:multiLevelType w:val="hybridMultilevel"/>
    <w:tmpl w:val="5E623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E807FB4"/>
    <w:multiLevelType w:val="multilevel"/>
    <w:tmpl w:val="EB56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2D5927"/>
    <w:multiLevelType w:val="hybridMultilevel"/>
    <w:tmpl w:val="EC5C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400D5E"/>
    <w:multiLevelType w:val="hybridMultilevel"/>
    <w:tmpl w:val="E5B87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2A14D25"/>
    <w:multiLevelType w:val="hybridMultilevel"/>
    <w:tmpl w:val="7580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1360DD"/>
    <w:multiLevelType w:val="hybridMultilevel"/>
    <w:tmpl w:val="7C148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F637FC"/>
    <w:multiLevelType w:val="hybridMultilevel"/>
    <w:tmpl w:val="EAE6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6675FB"/>
    <w:multiLevelType w:val="hybridMultilevel"/>
    <w:tmpl w:val="D862D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913061"/>
    <w:multiLevelType w:val="hybridMultilevel"/>
    <w:tmpl w:val="735A9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DB6608C"/>
    <w:multiLevelType w:val="hybridMultilevel"/>
    <w:tmpl w:val="4122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227F76"/>
    <w:multiLevelType w:val="hybridMultilevel"/>
    <w:tmpl w:val="2E42F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67FE5B88"/>
    <w:multiLevelType w:val="hybridMultilevel"/>
    <w:tmpl w:val="733C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5C45A2"/>
    <w:multiLevelType w:val="hybridMultilevel"/>
    <w:tmpl w:val="1C9025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681884"/>
    <w:multiLevelType w:val="hybridMultilevel"/>
    <w:tmpl w:val="47724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D37E35"/>
    <w:multiLevelType w:val="hybridMultilevel"/>
    <w:tmpl w:val="17428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356782"/>
    <w:multiLevelType w:val="hybridMultilevel"/>
    <w:tmpl w:val="409AB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20"/>
  </w:num>
  <w:num w:numId="12">
    <w:abstractNumId w:val="33"/>
  </w:num>
  <w:num w:numId="13">
    <w:abstractNumId w:val="33"/>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36"/>
  </w:num>
  <w:num w:numId="21">
    <w:abstractNumId w:val="30"/>
  </w:num>
  <w:num w:numId="22">
    <w:abstractNumId w:val="27"/>
  </w:num>
  <w:num w:numId="23">
    <w:abstractNumId w:val="28"/>
  </w:num>
  <w:num w:numId="24">
    <w:abstractNumId w:val="25"/>
  </w:num>
  <w:num w:numId="25">
    <w:abstractNumId w:val="39"/>
  </w:num>
  <w:num w:numId="26">
    <w:abstractNumId w:val="24"/>
  </w:num>
  <w:num w:numId="27">
    <w:abstractNumId w:val="11"/>
  </w:num>
  <w:num w:numId="28">
    <w:abstractNumId w:val="23"/>
  </w:num>
  <w:num w:numId="29">
    <w:abstractNumId w:val="11"/>
  </w:num>
  <w:num w:numId="30">
    <w:abstractNumId w:val="11"/>
  </w:num>
  <w:num w:numId="31">
    <w:abstractNumId w:val="18"/>
  </w:num>
  <w:num w:numId="32">
    <w:abstractNumId w:val="13"/>
  </w:num>
  <w:num w:numId="33">
    <w:abstractNumId w:val="40"/>
  </w:num>
  <w:num w:numId="34">
    <w:abstractNumId w:val="17"/>
  </w:num>
  <w:num w:numId="35">
    <w:abstractNumId w:val="34"/>
  </w:num>
  <w:num w:numId="36">
    <w:abstractNumId w:val="29"/>
  </w:num>
  <w:num w:numId="37">
    <w:abstractNumId w:val="19"/>
  </w:num>
  <w:num w:numId="38">
    <w:abstractNumId w:val="38"/>
  </w:num>
  <w:num w:numId="39">
    <w:abstractNumId w:val="11"/>
  </w:num>
  <w:num w:numId="40">
    <w:abstractNumId w:val="12"/>
  </w:num>
  <w:num w:numId="41">
    <w:abstractNumId w:val="31"/>
  </w:num>
  <w:num w:numId="42">
    <w:abstractNumId w:val="26"/>
  </w:num>
  <w:num w:numId="43">
    <w:abstractNumId w:val="14"/>
  </w:num>
  <w:num w:numId="44">
    <w:abstractNumId w:val="32"/>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35"/>
  </w:num>
  <w:num w:numId="52">
    <w:abstractNumId w:val="1"/>
  </w:num>
  <w:num w:numId="53">
    <w:abstractNumId w:val="0"/>
  </w:num>
  <w:num w:numId="54">
    <w:abstractNumId w:val="15"/>
  </w:num>
  <w:num w:numId="55">
    <w:abstractNumId w:val="22"/>
  </w:num>
  <w:num w:numId="56">
    <w:abstractNumId w:val="16"/>
  </w:num>
  <w:num w:numId="57">
    <w:abstractNumId w:val="11"/>
  </w:num>
  <w:num w:numId="58">
    <w:abstractNumId w:val="11"/>
  </w:num>
  <w:num w:numId="59">
    <w:abstractNumId w:val="37"/>
  </w:num>
  <w:num w:numId="60">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7A"/>
    <w:rsid w:val="000004A7"/>
    <w:rsid w:val="0000267F"/>
    <w:rsid w:val="0000419C"/>
    <w:rsid w:val="000044A0"/>
    <w:rsid w:val="00006660"/>
    <w:rsid w:val="00006674"/>
    <w:rsid w:val="00010294"/>
    <w:rsid w:val="0001128F"/>
    <w:rsid w:val="00012AE0"/>
    <w:rsid w:val="00014206"/>
    <w:rsid w:val="00014E98"/>
    <w:rsid w:val="00014EB8"/>
    <w:rsid w:val="000151A9"/>
    <w:rsid w:val="00020658"/>
    <w:rsid w:val="00021C23"/>
    <w:rsid w:val="000227A8"/>
    <w:rsid w:val="0002436B"/>
    <w:rsid w:val="0002595E"/>
    <w:rsid w:val="0002637C"/>
    <w:rsid w:val="0003077E"/>
    <w:rsid w:val="00030C9C"/>
    <w:rsid w:val="00031E32"/>
    <w:rsid w:val="0003659D"/>
    <w:rsid w:val="000375D5"/>
    <w:rsid w:val="00042681"/>
    <w:rsid w:val="00043B92"/>
    <w:rsid w:val="000440C3"/>
    <w:rsid w:val="0004443D"/>
    <w:rsid w:val="00045975"/>
    <w:rsid w:val="000477E1"/>
    <w:rsid w:val="00050CD8"/>
    <w:rsid w:val="00051237"/>
    <w:rsid w:val="000550BE"/>
    <w:rsid w:val="00055507"/>
    <w:rsid w:val="00055C7C"/>
    <w:rsid w:val="000564AF"/>
    <w:rsid w:val="000575F8"/>
    <w:rsid w:val="00057CB3"/>
    <w:rsid w:val="00057F07"/>
    <w:rsid w:val="00057FCB"/>
    <w:rsid w:val="000618BB"/>
    <w:rsid w:val="0006207C"/>
    <w:rsid w:val="000626FD"/>
    <w:rsid w:val="00062859"/>
    <w:rsid w:val="00062BF6"/>
    <w:rsid w:val="0006316C"/>
    <w:rsid w:val="000673A1"/>
    <w:rsid w:val="00071200"/>
    <w:rsid w:val="000727AB"/>
    <w:rsid w:val="00073F1E"/>
    <w:rsid w:val="000748C3"/>
    <w:rsid w:val="00074DAA"/>
    <w:rsid w:val="000758D0"/>
    <w:rsid w:val="00076EAB"/>
    <w:rsid w:val="00077B45"/>
    <w:rsid w:val="00077DFF"/>
    <w:rsid w:val="0008547B"/>
    <w:rsid w:val="00086B43"/>
    <w:rsid w:val="00090B9F"/>
    <w:rsid w:val="0009116E"/>
    <w:rsid w:val="000915AA"/>
    <w:rsid w:val="00092A99"/>
    <w:rsid w:val="00094538"/>
    <w:rsid w:val="0009663A"/>
    <w:rsid w:val="000967EB"/>
    <w:rsid w:val="00096F92"/>
    <w:rsid w:val="000975C1"/>
    <w:rsid w:val="000975CB"/>
    <w:rsid w:val="00097C7F"/>
    <w:rsid w:val="00097CC6"/>
    <w:rsid w:val="000A16AF"/>
    <w:rsid w:val="000A2C78"/>
    <w:rsid w:val="000A417B"/>
    <w:rsid w:val="000A4E9E"/>
    <w:rsid w:val="000A75A4"/>
    <w:rsid w:val="000A78FF"/>
    <w:rsid w:val="000B1069"/>
    <w:rsid w:val="000B127E"/>
    <w:rsid w:val="000B271C"/>
    <w:rsid w:val="000B3160"/>
    <w:rsid w:val="000B370C"/>
    <w:rsid w:val="000B6008"/>
    <w:rsid w:val="000B6316"/>
    <w:rsid w:val="000C2AB2"/>
    <w:rsid w:val="000C3951"/>
    <w:rsid w:val="000C453F"/>
    <w:rsid w:val="000C58F8"/>
    <w:rsid w:val="000C6C41"/>
    <w:rsid w:val="000D05E3"/>
    <w:rsid w:val="000D0F25"/>
    <w:rsid w:val="000E0737"/>
    <w:rsid w:val="000E149C"/>
    <w:rsid w:val="000E264B"/>
    <w:rsid w:val="000E2D7E"/>
    <w:rsid w:val="000E326C"/>
    <w:rsid w:val="000E4DC1"/>
    <w:rsid w:val="000E5C65"/>
    <w:rsid w:val="000E5EE6"/>
    <w:rsid w:val="000F1F30"/>
    <w:rsid w:val="000F21C2"/>
    <w:rsid w:val="000F2309"/>
    <w:rsid w:val="000F2402"/>
    <w:rsid w:val="000F3527"/>
    <w:rsid w:val="000F3CB4"/>
    <w:rsid w:val="000F3F7E"/>
    <w:rsid w:val="000F5C76"/>
    <w:rsid w:val="000F648C"/>
    <w:rsid w:val="00100337"/>
    <w:rsid w:val="001003F7"/>
    <w:rsid w:val="00101B6A"/>
    <w:rsid w:val="00101F55"/>
    <w:rsid w:val="0010245F"/>
    <w:rsid w:val="00103875"/>
    <w:rsid w:val="00106323"/>
    <w:rsid w:val="00106A75"/>
    <w:rsid w:val="00107EFF"/>
    <w:rsid w:val="001126FA"/>
    <w:rsid w:val="0011338E"/>
    <w:rsid w:val="001142DA"/>
    <w:rsid w:val="00115AF2"/>
    <w:rsid w:val="0011627F"/>
    <w:rsid w:val="00116B0F"/>
    <w:rsid w:val="00116F0D"/>
    <w:rsid w:val="001203EE"/>
    <w:rsid w:val="00120A45"/>
    <w:rsid w:val="0012150D"/>
    <w:rsid w:val="0012232D"/>
    <w:rsid w:val="00122685"/>
    <w:rsid w:val="00123E52"/>
    <w:rsid w:val="00126219"/>
    <w:rsid w:val="0012683A"/>
    <w:rsid w:val="00130869"/>
    <w:rsid w:val="00130BC5"/>
    <w:rsid w:val="001312F5"/>
    <w:rsid w:val="00131DBF"/>
    <w:rsid w:val="00132343"/>
    <w:rsid w:val="0013550D"/>
    <w:rsid w:val="0014452C"/>
    <w:rsid w:val="00146A4F"/>
    <w:rsid w:val="0014725A"/>
    <w:rsid w:val="001535A9"/>
    <w:rsid w:val="00155EFA"/>
    <w:rsid w:val="001612BF"/>
    <w:rsid w:val="00162154"/>
    <w:rsid w:val="00162275"/>
    <w:rsid w:val="00166DF3"/>
    <w:rsid w:val="001708F4"/>
    <w:rsid w:val="001720B4"/>
    <w:rsid w:val="0017252E"/>
    <w:rsid w:val="00172A22"/>
    <w:rsid w:val="00172F9B"/>
    <w:rsid w:val="00173FD1"/>
    <w:rsid w:val="00174755"/>
    <w:rsid w:val="00176E9A"/>
    <w:rsid w:val="001770E1"/>
    <w:rsid w:val="001772A3"/>
    <w:rsid w:val="001777B7"/>
    <w:rsid w:val="001812C7"/>
    <w:rsid w:val="00186C79"/>
    <w:rsid w:val="00186F6C"/>
    <w:rsid w:val="001875E2"/>
    <w:rsid w:val="00187715"/>
    <w:rsid w:val="00190510"/>
    <w:rsid w:val="00191ACA"/>
    <w:rsid w:val="00191F05"/>
    <w:rsid w:val="00194515"/>
    <w:rsid w:val="001945A8"/>
    <w:rsid w:val="00194E0A"/>
    <w:rsid w:val="00195C3F"/>
    <w:rsid w:val="00197236"/>
    <w:rsid w:val="00197E71"/>
    <w:rsid w:val="001A1637"/>
    <w:rsid w:val="001A487D"/>
    <w:rsid w:val="001A5B5E"/>
    <w:rsid w:val="001A704A"/>
    <w:rsid w:val="001A7C13"/>
    <w:rsid w:val="001B0AF4"/>
    <w:rsid w:val="001B7105"/>
    <w:rsid w:val="001B7940"/>
    <w:rsid w:val="001C0122"/>
    <w:rsid w:val="001C068D"/>
    <w:rsid w:val="001C0E34"/>
    <w:rsid w:val="001C285C"/>
    <w:rsid w:val="001C39B5"/>
    <w:rsid w:val="001C5AB7"/>
    <w:rsid w:val="001D0E26"/>
    <w:rsid w:val="001D0E78"/>
    <w:rsid w:val="001D133A"/>
    <w:rsid w:val="001D1BB5"/>
    <w:rsid w:val="001D5707"/>
    <w:rsid w:val="001D6B1C"/>
    <w:rsid w:val="001D73CA"/>
    <w:rsid w:val="001E05B6"/>
    <w:rsid w:val="001E0F3B"/>
    <w:rsid w:val="001E2B26"/>
    <w:rsid w:val="001E3481"/>
    <w:rsid w:val="001E507E"/>
    <w:rsid w:val="001E7CA4"/>
    <w:rsid w:val="001F010B"/>
    <w:rsid w:val="001F0E79"/>
    <w:rsid w:val="001F3B8E"/>
    <w:rsid w:val="001F4F4D"/>
    <w:rsid w:val="001F57B6"/>
    <w:rsid w:val="001F58BF"/>
    <w:rsid w:val="001F5938"/>
    <w:rsid w:val="001F618B"/>
    <w:rsid w:val="001F7F85"/>
    <w:rsid w:val="00202CD4"/>
    <w:rsid w:val="00203E4E"/>
    <w:rsid w:val="00211C99"/>
    <w:rsid w:val="00213ED7"/>
    <w:rsid w:val="00222CC4"/>
    <w:rsid w:val="0022507A"/>
    <w:rsid w:val="002256A0"/>
    <w:rsid w:val="002347AA"/>
    <w:rsid w:val="00237136"/>
    <w:rsid w:val="00237903"/>
    <w:rsid w:val="00237CFF"/>
    <w:rsid w:val="00246BFC"/>
    <w:rsid w:val="00247063"/>
    <w:rsid w:val="00252BF9"/>
    <w:rsid w:val="00271FAE"/>
    <w:rsid w:val="00273008"/>
    <w:rsid w:val="002735A9"/>
    <w:rsid w:val="002768D4"/>
    <w:rsid w:val="0028049D"/>
    <w:rsid w:val="00280676"/>
    <w:rsid w:val="00282F62"/>
    <w:rsid w:val="00284FE6"/>
    <w:rsid w:val="00285EA6"/>
    <w:rsid w:val="00285EF8"/>
    <w:rsid w:val="002863B5"/>
    <w:rsid w:val="00286B47"/>
    <w:rsid w:val="002872F7"/>
    <w:rsid w:val="002901B8"/>
    <w:rsid w:val="00293275"/>
    <w:rsid w:val="00294E56"/>
    <w:rsid w:val="00296373"/>
    <w:rsid w:val="00297CDF"/>
    <w:rsid w:val="002A18A8"/>
    <w:rsid w:val="002A41AA"/>
    <w:rsid w:val="002A60C2"/>
    <w:rsid w:val="002A70D1"/>
    <w:rsid w:val="002B0616"/>
    <w:rsid w:val="002B27D4"/>
    <w:rsid w:val="002C08B2"/>
    <w:rsid w:val="002C163A"/>
    <w:rsid w:val="002C458A"/>
    <w:rsid w:val="002C6DF6"/>
    <w:rsid w:val="002D0251"/>
    <w:rsid w:val="002D4902"/>
    <w:rsid w:val="002D4927"/>
    <w:rsid w:val="002D4DE0"/>
    <w:rsid w:val="002D63B1"/>
    <w:rsid w:val="002D6639"/>
    <w:rsid w:val="002D7840"/>
    <w:rsid w:val="002E09D3"/>
    <w:rsid w:val="002E11BF"/>
    <w:rsid w:val="002E1222"/>
    <w:rsid w:val="002E1E69"/>
    <w:rsid w:val="002E3146"/>
    <w:rsid w:val="002F0633"/>
    <w:rsid w:val="002F07BE"/>
    <w:rsid w:val="002F2400"/>
    <w:rsid w:val="002F2D26"/>
    <w:rsid w:val="002F5361"/>
    <w:rsid w:val="002F586E"/>
    <w:rsid w:val="002F692E"/>
    <w:rsid w:val="002F6DD7"/>
    <w:rsid w:val="003000E8"/>
    <w:rsid w:val="00300442"/>
    <w:rsid w:val="003008BA"/>
    <w:rsid w:val="0030097A"/>
    <w:rsid w:val="00301B57"/>
    <w:rsid w:val="00302551"/>
    <w:rsid w:val="0030461F"/>
    <w:rsid w:val="003108EB"/>
    <w:rsid w:val="00313043"/>
    <w:rsid w:val="00321381"/>
    <w:rsid w:val="003232D0"/>
    <w:rsid w:val="00324761"/>
    <w:rsid w:val="00324F2D"/>
    <w:rsid w:val="00326B2D"/>
    <w:rsid w:val="003278F7"/>
    <w:rsid w:val="00327C35"/>
    <w:rsid w:val="00330331"/>
    <w:rsid w:val="00331913"/>
    <w:rsid w:val="00331E8D"/>
    <w:rsid w:val="00334ED9"/>
    <w:rsid w:val="0033590A"/>
    <w:rsid w:val="003361AE"/>
    <w:rsid w:val="00340BC8"/>
    <w:rsid w:val="0034373A"/>
    <w:rsid w:val="003452C0"/>
    <w:rsid w:val="00347774"/>
    <w:rsid w:val="00347F09"/>
    <w:rsid w:val="00351878"/>
    <w:rsid w:val="00354809"/>
    <w:rsid w:val="003551DB"/>
    <w:rsid w:val="00355AB8"/>
    <w:rsid w:val="003564E0"/>
    <w:rsid w:val="00357A96"/>
    <w:rsid w:val="003605CF"/>
    <w:rsid w:val="0036115D"/>
    <w:rsid w:val="003613F1"/>
    <w:rsid w:val="00362BD4"/>
    <w:rsid w:val="0036321F"/>
    <w:rsid w:val="00365DAF"/>
    <w:rsid w:val="00367351"/>
    <w:rsid w:val="00367CB5"/>
    <w:rsid w:val="0037183B"/>
    <w:rsid w:val="00372203"/>
    <w:rsid w:val="003726BA"/>
    <w:rsid w:val="00372FE9"/>
    <w:rsid w:val="00375A2D"/>
    <w:rsid w:val="00375F21"/>
    <w:rsid w:val="00376812"/>
    <w:rsid w:val="00376972"/>
    <w:rsid w:val="003776D3"/>
    <w:rsid w:val="0038425E"/>
    <w:rsid w:val="00385104"/>
    <w:rsid w:val="00385EAF"/>
    <w:rsid w:val="003904D7"/>
    <w:rsid w:val="00394D28"/>
    <w:rsid w:val="003A07E4"/>
    <w:rsid w:val="003A173E"/>
    <w:rsid w:val="003A342B"/>
    <w:rsid w:val="003A3E82"/>
    <w:rsid w:val="003A5831"/>
    <w:rsid w:val="003A6939"/>
    <w:rsid w:val="003B1067"/>
    <w:rsid w:val="003B310A"/>
    <w:rsid w:val="003C05C1"/>
    <w:rsid w:val="003C0BA4"/>
    <w:rsid w:val="003C410C"/>
    <w:rsid w:val="003C481F"/>
    <w:rsid w:val="003C5C8D"/>
    <w:rsid w:val="003C64C5"/>
    <w:rsid w:val="003C6579"/>
    <w:rsid w:val="003C7A36"/>
    <w:rsid w:val="003D0EA6"/>
    <w:rsid w:val="003D0ECA"/>
    <w:rsid w:val="003D10D6"/>
    <w:rsid w:val="003D11C3"/>
    <w:rsid w:val="003D2DDC"/>
    <w:rsid w:val="003D37DB"/>
    <w:rsid w:val="003D44C2"/>
    <w:rsid w:val="003D77D3"/>
    <w:rsid w:val="003D77E8"/>
    <w:rsid w:val="003E0111"/>
    <w:rsid w:val="003E32F3"/>
    <w:rsid w:val="003E55F7"/>
    <w:rsid w:val="003E5AD6"/>
    <w:rsid w:val="003F0B30"/>
    <w:rsid w:val="003F1CAA"/>
    <w:rsid w:val="003F22BD"/>
    <w:rsid w:val="003F2E7D"/>
    <w:rsid w:val="003F4D33"/>
    <w:rsid w:val="003F58FA"/>
    <w:rsid w:val="003F667E"/>
    <w:rsid w:val="003F6E2B"/>
    <w:rsid w:val="003F7C59"/>
    <w:rsid w:val="00402E6D"/>
    <w:rsid w:val="0041221E"/>
    <w:rsid w:val="00412D53"/>
    <w:rsid w:val="00413E53"/>
    <w:rsid w:val="00414589"/>
    <w:rsid w:val="00420C6F"/>
    <w:rsid w:val="004210AA"/>
    <w:rsid w:val="004219E2"/>
    <w:rsid w:val="00424D20"/>
    <w:rsid w:val="0042535F"/>
    <w:rsid w:val="00425E60"/>
    <w:rsid w:val="0042783B"/>
    <w:rsid w:val="00427A78"/>
    <w:rsid w:val="00427DB5"/>
    <w:rsid w:val="00430189"/>
    <w:rsid w:val="00431FEE"/>
    <w:rsid w:val="00434A1D"/>
    <w:rsid w:val="0043710E"/>
    <w:rsid w:val="00440B70"/>
    <w:rsid w:val="00440C1F"/>
    <w:rsid w:val="004411E7"/>
    <w:rsid w:val="004418E9"/>
    <w:rsid w:val="004420C1"/>
    <w:rsid w:val="00442847"/>
    <w:rsid w:val="00442916"/>
    <w:rsid w:val="004442C4"/>
    <w:rsid w:val="00444CE9"/>
    <w:rsid w:val="00444E4D"/>
    <w:rsid w:val="00444EC5"/>
    <w:rsid w:val="00447D49"/>
    <w:rsid w:val="0045081D"/>
    <w:rsid w:val="00451821"/>
    <w:rsid w:val="004522D0"/>
    <w:rsid w:val="004522F8"/>
    <w:rsid w:val="00453376"/>
    <w:rsid w:val="004533AC"/>
    <w:rsid w:val="004536A3"/>
    <w:rsid w:val="00454B08"/>
    <w:rsid w:val="004562EC"/>
    <w:rsid w:val="0045640E"/>
    <w:rsid w:val="00456590"/>
    <w:rsid w:val="00456937"/>
    <w:rsid w:val="0045774B"/>
    <w:rsid w:val="00460C8B"/>
    <w:rsid w:val="00461BFA"/>
    <w:rsid w:val="004629AB"/>
    <w:rsid w:val="00465744"/>
    <w:rsid w:val="00466283"/>
    <w:rsid w:val="00470173"/>
    <w:rsid w:val="00470D08"/>
    <w:rsid w:val="00471DFC"/>
    <w:rsid w:val="0047302C"/>
    <w:rsid w:val="00474886"/>
    <w:rsid w:val="00474DE7"/>
    <w:rsid w:val="004750B2"/>
    <w:rsid w:val="00475E3E"/>
    <w:rsid w:val="0047654C"/>
    <w:rsid w:val="00477577"/>
    <w:rsid w:val="004779F0"/>
    <w:rsid w:val="004809D1"/>
    <w:rsid w:val="00481FBF"/>
    <w:rsid w:val="00482EE6"/>
    <w:rsid w:val="0048548B"/>
    <w:rsid w:val="00486A12"/>
    <w:rsid w:val="0048713B"/>
    <w:rsid w:val="00487498"/>
    <w:rsid w:val="0049018A"/>
    <w:rsid w:val="00491437"/>
    <w:rsid w:val="004919E0"/>
    <w:rsid w:val="004940A1"/>
    <w:rsid w:val="004955B3"/>
    <w:rsid w:val="00495FEB"/>
    <w:rsid w:val="0049712A"/>
    <w:rsid w:val="00497E04"/>
    <w:rsid w:val="004A1A64"/>
    <w:rsid w:val="004A1B46"/>
    <w:rsid w:val="004A1E16"/>
    <w:rsid w:val="004A2C04"/>
    <w:rsid w:val="004A31C9"/>
    <w:rsid w:val="004A3696"/>
    <w:rsid w:val="004A43E4"/>
    <w:rsid w:val="004A4485"/>
    <w:rsid w:val="004A4811"/>
    <w:rsid w:val="004A63EB"/>
    <w:rsid w:val="004B0ACE"/>
    <w:rsid w:val="004B0FFB"/>
    <w:rsid w:val="004B4A7A"/>
    <w:rsid w:val="004B57AD"/>
    <w:rsid w:val="004B5D0E"/>
    <w:rsid w:val="004C2EF6"/>
    <w:rsid w:val="004C5F66"/>
    <w:rsid w:val="004C659E"/>
    <w:rsid w:val="004C7ED0"/>
    <w:rsid w:val="004D1E56"/>
    <w:rsid w:val="004D3800"/>
    <w:rsid w:val="004D650A"/>
    <w:rsid w:val="004D751F"/>
    <w:rsid w:val="004E0CEE"/>
    <w:rsid w:val="004E22E6"/>
    <w:rsid w:val="004E3295"/>
    <w:rsid w:val="004E4642"/>
    <w:rsid w:val="004E4D9C"/>
    <w:rsid w:val="004E5FCD"/>
    <w:rsid w:val="004E7C6C"/>
    <w:rsid w:val="004F0E9E"/>
    <w:rsid w:val="004F1DB4"/>
    <w:rsid w:val="004F1FB5"/>
    <w:rsid w:val="004F4AB0"/>
    <w:rsid w:val="004F6193"/>
    <w:rsid w:val="00500277"/>
    <w:rsid w:val="00500B4B"/>
    <w:rsid w:val="0050275F"/>
    <w:rsid w:val="005030FB"/>
    <w:rsid w:val="005037F1"/>
    <w:rsid w:val="00503C5F"/>
    <w:rsid w:val="00506C0E"/>
    <w:rsid w:val="00506CB5"/>
    <w:rsid w:val="00506DED"/>
    <w:rsid w:val="00507F16"/>
    <w:rsid w:val="005122CD"/>
    <w:rsid w:val="00512A52"/>
    <w:rsid w:val="005132CB"/>
    <w:rsid w:val="00513F46"/>
    <w:rsid w:val="005156A5"/>
    <w:rsid w:val="005211E4"/>
    <w:rsid w:val="00524886"/>
    <w:rsid w:val="00526D8B"/>
    <w:rsid w:val="00530754"/>
    <w:rsid w:val="005312F5"/>
    <w:rsid w:val="00531385"/>
    <w:rsid w:val="0053264A"/>
    <w:rsid w:val="00534988"/>
    <w:rsid w:val="00535CB8"/>
    <w:rsid w:val="005360FF"/>
    <w:rsid w:val="00536ADF"/>
    <w:rsid w:val="005373FE"/>
    <w:rsid w:val="00540C8A"/>
    <w:rsid w:val="00544127"/>
    <w:rsid w:val="00545DD1"/>
    <w:rsid w:val="005463D4"/>
    <w:rsid w:val="00546A7D"/>
    <w:rsid w:val="005472AC"/>
    <w:rsid w:val="005505E4"/>
    <w:rsid w:val="00550DF7"/>
    <w:rsid w:val="00550F81"/>
    <w:rsid w:val="0055213E"/>
    <w:rsid w:val="00552A7A"/>
    <w:rsid w:val="00553980"/>
    <w:rsid w:val="00554A2C"/>
    <w:rsid w:val="00556960"/>
    <w:rsid w:val="0056018B"/>
    <w:rsid w:val="005612AD"/>
    <w:rsid w:val="00566E7B"/>
    <w:rsid w:val="00567031"/>
    <w:rsid w:val="0056725F"/>
    <w:rsid w:val="00570E7B"/>
    <w:rsid w:val="005713D4"/>
    <w:rsid w:val="00572A75"/>
    <w:rsid w:val="005741B0"/>
    <w:rsid w:val="0057439D"/>
    <w:rsid w:val="00575E21"/>
    <w:rsid w:val="00576675"/>
    <w:rsid w:val="00576997"/>
    <w:rsid w:val="005819A7"/>
    <w:rsid w:val="005829CE"/>
    <w:rsid w:val="00582E73"/>
    <w:rsid w:val="005830BB"/>
    <w:rsid w:val="005840AF"/>
    <w:rsid w:val="00586928"/>
    <w:rsid w:val="0058762A"/>
    <w:rsid w:val="00587A31"/>
    <w:rsid w:val="00591804"/>
    <w:rsid w:val="00594A6C"/>
    <w:rsid w:val="00595E4B"/>
    <w:rsid w:val="00596C1A"/>
    <w:rsid w:val="00596EF3"/>
    <w:rsid w:val="005A1612"/>
    <w:rsid w:val="005A17C5"/>
    <w:rsid w:val="005A229C"/>
    <w:rsid w:val="005A2572"/>
    <w:rsid w:val="005A28F1"/>
    <w:rsid w:val="005A2C7E"/>
    <w:rsid w:val="005A4002"/>
    <w:rsid w:val="005A45D4"/>
    <w:rsid w:val="005A6F4D"/>
    <w:rsid w:val="005B06A8"/>
    <w:rsid w:val="005B06AC"/>
    <w:rsid w:val="005B33F1"/>
    <w:rsid w:val="005B4942"/>
    <w:rsid w:val="005B4A86"/>
    <w:rsid w:val="005B4FC3"/>
    <w:rsid w:val="005B5229"/>
    <w:rsid w:val="005B59E8"/>
    <w:rsid w:val="005B71DD"/>
    <w:rsid w:val="005B740B"/>
    <w:rsid w:val="005C0C22"/>
    <w:rsid w:val="005C0EBF"/>
    <w:rsid w:val="005C4C30"/>
    <w:rsid w:val="005C538C"/>
    <w:rsid w:val="005D3386"/>
    <w:rsid w:val="005D468B"/>
    <w:rsid w:val="005D5F07"/>
    <w:rsid w:val="005D62DC"/>
    <w:rsid w:val="005D658F"/>
    <w:rsid w:val="005D66C5"/>
    <w:rsid w:val="005D7164"/>
    <w:rsid w:val="005D7664"/>
    <w:rsid w:val="005D7A1A"/>
    <w:rsid w:val="005D7A2B"/>
    <w:rsid w:val="005E06FD"/>
    <w:rsid w:val="005E2A35"/>
    <w:rsid w:val="005E3DE9"/>
    <w:rsid w:val="005E68C0"/>
    <w:rsid w:val="005F0E0E"/>
    <w:rsid w:val="005F1C5F"/>
    <w:rsid w:val="005F2CA5"/>
    <w:rsid w:val="005F427B"/>
    <w:rsid w:val="005F4EC6"/>
    <w:rsid w:val="005F5991"/>
    <w:rsid w:val="005F7A3D"/>
    <w:rsid w:val="00601353"/>
    <w:rsid w:val="00602728"/>
    <w:rsid w:val="00604AA7"/>
    <w:rsid w:val="00604DCB"/>
    <w:rsid w:val="00606477"/>
    <w:rsid w:val="00611740"/>
    <w:rsid w:val="00620CA4"/>
    <w:rsid w:val="00624400"/>
    <w:rsid w:val="00624C12"/>
    <w:rsid w:val="00632BC3"/>
    <w:rsid w:val="0063412F"/>
    <w:rsid w:val="00634506"/>
    <w:rsid w:val="0063471B"/>
    <w:rsid w:val="00635AAD"/>
    <w:rsid w:val="00635BBB"/>
    <w:rsid w:val="006367AD"/>
    <w:rsid w:val="006369BC"/>
    <w:rsid w:val="0064056C"/>
    <w:rsid w:val="00640B15"/>
    <w:rsid w:val="00641CB8"/>
    <w:rsid w:val="0064395B"/>
    <w:rsid w:val="0064452B"/>
    <w:rsid w:val="00645B72"/>
    <w:rsid w:val="006506BC"/>
    <w:rsid w:val="00651CEC"/>
    <w:rsid w:val="006540AF"/>
    <w:rsid w:val="0065653A"/>
    <w:rsid w:val="00656EFD"/>
    <w:rsid w:val="00661CD4"/>
    <w:rsid w:val="006632B2"/>
    <w:rsid w:val="006633EF"/>
    <w:rsid w:val="006635EF"/>
    <w:rsid w:val="00663B24"/>
    <w:rsid w:val="00666D0F"/>
    <w:rsid w:val="00667FCB"/>
    <w:rsid w:val="00670228"/>
    <w:rsid w:val="006706A2"/>
    <w:rsid w:val="006710B5"/>
    <w:rsid w:val="00671EDB"/>
    <w:rsid w:val="00673E9B"/>
    <w:rsid w:val="006740B0"/>
    <w:rsid w:val="00674F8F"/>
    <w:rsid w:val="00675CBA"/>
    <w:rsid w:val="006769BD"/>
    <w:rsid w:val="00682ACF"/>
    <w:rsid w:val="0068360A"/>
    <w:rsid w:val="00683BF1"/>
    <w:rsid w:val="006840AC"/>
    <w:rsid w:val="00684141"/>
    <w:rsid w:val="00685807"/>
    <w:rsid w:val="00685FA7"/>
    <w:rsid w:val="00686A78"/>
    <w:rsid w:val="00694BF2"/>
    <w:rsid w:val="00695C95"/>
    <w:rsid w:val="00696D00"/>
    <w:rsid w:val="00697DF2"/>
    <w:rsid w:val="006A23CC"/>
    <w:rsid w:val="006A38B2"/>
    <w:rsid w:val="006A5C6E"/>
    <w:rsid w:val="006A6A59"/>
    <w:rsid w:val="006A6D25"/>
    <w:rsid w:val="006A70E6"/>
    <w:rsid w:val="006B0464"/>
    <w:rsid w:val="006B4035"/>
    <w:rsid w:val="006B7369"/>
    <w:rsid w:val="006C021E"/>
    <w:rsid w:val="006C14CE"/>
    <w:rsid w:val="006C1B5E"/>
    <w:rsid w:val="006C1FBD"/>
    <w:rsid w:val="006C3E53"/>
    <w:rsid w:val="006C56B3"/>
    <w:rsid w:val="006C73B6"/>
    <w:rsid w:val="006C76A2"/>
    <w:rsid w:val="006E0883"/>
    <w:rsid w:val="006E392A"/>
    <w:rsid w:val="006E41E5"/>
    <w:rsid w:val="006E55FB"/>
    <w:rsid w:val="006E689A"/>
    <w:rsid w:val="006F0836"/>
    <w:rsid w:val="006F0A6F"/>
    <w:rsid w:val="006F1B8C"/>
    <w:rsid w:val="006F2A07"/>
    <w:rsid w:val="006F481B"/>
    <w:rsid w:val="006F6540"/>
    <w:rsid w:val="006F7045"/>
    <w:rsid w:val="00700589"/>
    <w:rsid w:val="00701879"/>
    <w:rsid w:val="00702763"/>
    <w:rsid w:val="0070281C"/>
    <w:rsid w:val="00704C98"/>
    <w:rsid w:val="007061A2"/>
    <w:rsid w:val="00710529"/>
    <w:rsid w:val="00712299"/>
    <w:rsid w:val="00713D4E"/>
    <w:rsid w:val="0071562A"/>
    <w:rsid w:val="0071682A"/>
    <w:rsid w:val="00716FD1"/>
    <w:rsid w:val="00717FA3"/>
    <w:rsid w:val="00720A00"/>
    <w:rsid w:val="00720F93"/>
    <w:rsid w:val="00721496"/>
    <w:rsid w:val="00721689"/>
    <w:rsid w:val="007229F8"/>
    <w:rsid w:val="00723509"/>
    <w:rsid w:val="00723D21"/>
    <w:rsid w:val="007265DF"/>
    <w:rsid w:val="00726892"/>
    <w:rsid w:val="00731754"/>
    <w:rsid w:val="00732229"/>
    <w:rsid w:val="00732498"/>
    <w:rsid w:val="00732D8A"/>
    <w:rsid w:val="00733D92"/>
    <w:rsid w:val="007351FF"/>
    <w:rsid w:val="00735790"/>
    <w:rsid w:val="00735B24"/>
    <w:rsid w:val="00741726"/>
    <w:rsid w:val="00747663"/>
    <w:rsid w:val="0075022B"/>
    <w:rsid w:val="0075177D"/>
    <w:rsid w:val="00751C97"/>
    <w:rsid w:val="00753279"/>
    <w:rsid w:val="00753C8C"/>
    <w:rsid w:val="00753E0E"/>
    <w:rsid w:val="00754862"/>
    <w:rsid w:val="007549D0"/>
    <w:rsid w:val="00754A7A"/>
    <w:rsid w:val="00755854"/>
    <w:rsid w:val="00760115"/>
    <w:rsid w:val="0076011C"/>
    <w:rsid w:val="00760816"/>
    <w:rsid w:val="007613C7"/>
    <w:rsid w:val="0076331C"/>
    <w:rsid w:val="00765CA4"/>
    <w:rsid w:val="00766A1C"/>
    <w:rsid w:val="00766C18"/>
    <w:rsid w:val="00773F15"/>
    <w:rsid w:val="00780769"/>
    <w:rsid w:val="007830E1"/>
    <w:rsid w:val="00783BBC"/>
    <w:rsid w:val="007841FD"/>
    <w:rsid w:val="007845C3"/>
    <w:rsid w:val="00790ADD"/>
    <w:rsid w:val="0079471C"/>
    <w:rsid w:val="00796201"/>
    <w:rsid w:val="0079635F"/>
    <w:rsid w:val="0079771E"/>
    <w:rsid w:val="007A3E74"/>
    <w:rsid w:val="007A5362"/>
    <w:rsid w:val="007A5E76"/>
    <w:rsid w:val="007A610A"/>
    <w:rsid w:val="007B05B2"/>
    <w:rsid w:val="007B1BDE"/>
    <w:rsid w:val="007B230A"/>
    <w:rsid w:val="007B3114"/>
    <w:rsid w:val="007B3EDD"/>
    <w:rsid w:val="007B5A7A"/>
    <w:rsid w:val="007B7176"/>
    <w:rsid w:val="007B77DD"/>
    <w:rsid w:val="007C47A9"/>
    <w:rsid w:val="007C76D0"/>
    <w:rsid w:val="007C7AE1"/>
    <w:rsid w:val="007D0E9F"/>
    <w:rsid w:val="007D13EB"/>
    <w:rsid w:val="007D4612"/>
    <w:rsid w:val="007D6C1C"/>
    <w:rsid w:val="007D6D30"/>
    <w:rsid w:val="007E1355"/>
    <w:rsid w:val="007E3E39"/>
    <w:rsid w:val="007F1AE2"/>
    <w:rsid w:val="007F20D5"/>
    <w:rsid w:val="007F366D"/>
    <w:rsid w:val="007F371A"/>
    <w:rsid w:val="007F3905"/>
    <w:rsid w:val="007F4BAB"/>
    <w:rsid w:val="007F5248"/>
    <w:rsid w:val="007F5884"/>
    <w:rsid w:val="007F6001"/>
    <w:rsid w:val="007F6680"/>
    <w:rsid w:val="007F73E0"/>
    <w:rsid w:val="0080079A"/>
    <w:rsid w:val="00801DB7"/>
    <w:rsid w:val="00803E47"/>
    <w:rsid w:val="0080529D"/>
    <w:rsid w:val="00806D47"/>
    <w:rsid w:val="008151FF"/>
    <w:rsid w:val="0081582E"/>
    <w:rsid w:val="0081681F"/>
    <w:rsid w:val="008211AE"/>
    <w:rsid w:val="00821C4C"/>
    <w:rsid w:val="008223B3"/>
    <w:rsid w:val="00822B66"/>
    <w:rsid w:val="00822DC8"/>
    <w:rsid w:val="008245C3"/>
    <w:rsid w:val="00824DB4"/>
    <w:rsid w:val="00825325"/>
    <w:rsid w:val="0082615A"/>
    <w:rsid w:val="00826607"/>
    <w:rsid w:val="0082760D"/>
    <w:rsid w:val="00830097"/>
    <w:rsid w:val="008325D5"/>
    <w:rsid w:val="008351A5"/>
    <w:rsid w:val="00835D24"/>
    <w:rsid w:val="008365F5"/>
    <w:rsid w:val="00836A63"/>
    <w:rsid w:val="0083736A"/>
    <w:rsid w:val="00842FBF"/>
    <w:rsid w:val="00844228"/>
    <w:rsid w:val="008478DA"/>
    <w:rsid w:val="00850EF0"/>
    <w:rsid w:val="008526DE"/>
    <w:rsid w:val="00853F21"/>
    <w:rsid w:val="0085463A"/>
    <w:rsid w:val="00855528"/>
    <w:rsid w:val="00855B9E"/>
    <w:rsid w:val="00855D9A"/>
    <w:rsid w:val="008571D6"/>
    <w:rsid w:val="008616D5"/>
    <w:rsid w:val="008634A3"/>
    <w:rsid w:val="00863AF9"/>
    <w:rsid w:val="00865372"/>
    <w:rsid w:val="00866A99"/>
    <w:rsid w:val="00867136"/>
    <w:rsid w:val="00867308"/>
    <w:rsid w:val="00867E89"/>
    <w:rsid w:val="0087247B"/>
    <w:rsid w:val="00872D8D"/>
    <w:rsid w:val="00873E3D"/>
    <w:rsid w:val="008744CA"/>
    <w:rsid w:val="00874C5E"/>
    <w:rsid w:val="00874DE9"/>
    <w:rsid w:val="008756E9"/>
    <w:rsid w:val="00876DC8"/>
    <w:rsid w:val="00876FF3"/>
    <w:rsid w:val="00883378"/>
    <w:rsid w:val="00884050"/>
    <w:rsid w:val="00887B94"/>
    <w:rsid w:val="008913F9"/>
    <w:rsid w:val="008913FE"/>
    <w:rsid w:val="0089412A"/>
    <w:rsid w:val="008978C5"/>
    <w:rsid w:val="008A043A"/>
    <w:rsid w:val="008A084B"/>
    <w:rsid w:val="008A09CE"/>
    <w:rsid w:val="008A33F0"/>
    <w:rsid w:val="008A3E68"/>
    <w:rsid w:val="008A4AA4"/>
    <w:rsid w:val="008A5136"/>
    <w:rsid w:val="008A77FC"/>
    <w:rsid w:val="008B1D03"/>
    <w:rsid w:val="008B201D"/>
    <w:rsid w:val="008B243C"/>
    <w:rsid w:val="008B5322"/>
    <w:rsid w:val="008B61FB"/>
    <w:rsid w:val="008B6401"/>
    <w:rsid w:val="008B79A8"/>
    <w:rsid w:val="008D09CB"/>
    <w:rsid w:val="008D21B4"/>
    <w:rsid w:val="008D6E7A"/>
    <w:rsid w:val="008D774C"/>
    <w:rsid w:val="008E0207"/>
    <w:rsid w:val="008E2FD9"/>
    <w:rsid w:val="008E525F"/>
    <w:rsid w:val="008E52B8"/>
    <w:rsid w:val="008E562C"/>
    <w:rsid w:val="008E563F"/>
    <w:rsid w:val="008E582D"/>
    <w:rsid w:val="008E5972"/>
    <w:rsid w:val="008E65A3"/>
    <w:rsid w:val="008E6C44"/>
    <w:rsid w:val="008F0E0C"/>
    <w:rsid w:val="008F10AD"/>
    <w:rsid w:val="008F12FD"/>
    <w:rsid w:val="008F52FC"/>
    <w:rsid w:val="00901B0A"/>
    <w:rsid w:val="00911600"/>
    <w:rsid w:val="0091160E"/>
    <w:rsid w:val="00911D8D"/>
    <w:rsid w:val="00913641"/>
    <w:rsid w:val="00913836"/>
    <w:rsid w:val="00914D86"/>
    <w:rsid w:val="00915C7C"/>
    <w:rsid w:val="00916544"/>
    <w:rsid w:val="0092000E"/>
    <w:rsid w:val="009210BA"/>
    <w:rsid w:val="009258CF"/>
    <w:rsid w:val="00927549"/>
    <w:rsid w:val="00927BEC"/>
    <w:rsid w:val="00930255"/>
    <w:rsid w:val="009302D1"/>
    <w:rsid w:val="00930BFE"/>
    <w:rsid w:val="00931E80"/>
    <w:rsid w:val="00933039"/>
    <w:rsid w:val="0093429D"/>
    <w:rsid w:val="00936750"/>
    <w:rsid w:val="00937819"/>
    <w:rsid w:val="00945108"/>
    <w:rsid w:val="00945CBA"/>
    <w:rsid w:val="00951702"/>
    <w:rsid w:val="00955694"/>
    <w:rsid w:val="009562E4"/>
    <w:rsid w:val="009565EF"/>
    <w:rsid w:val="0095776A"/>
    <w:rsid w:val="0095786C"/>
    <w:rsid w:val="00957887"/>
    <w:rsid w:val="00957A8E"/>
    <w:rsid w:val="009609A1"/>
    <w:rsid w:val="0096289B"/>
    <w:rsid w:val="009636D3"/>
    <w:rsid w:val="00963E83"/>
    <w:rsid w:val="00965E89"/>
    <w:rsid w:val="00967090"/>
    <w:rsid w:val="00967C81"/>
    <w:rsid w:val="00970F86"/>
    <w:rsid w:val="00972AE0"/>
    <w:rsid w:val="00972C0F"/>
    <w:rsid w:val="00972D2F"/>
    <w:rsid w:val="00973219"/>
    <w:rsid w:val="00973DCC"/>
    <w:rsid w:val="00974FBE"/>
    <w:rsid w:val="0097549F"/>
    <w:rsid w:val="00975C70"/>
    <w:rsid w:val="00980BCA"/>
    <w:rsid w:val="00982182"/>
    <w:rsid w:val="00985535"/>
    <w:rsid w:val="009868FD"/>
    <w:rsid w:val="00987E16"/>
    <w:rsid w:val="009933C0"/>
    <w:rsid w:val="00993AC0"/>
    <w:rsid w:val="00994854"/>
    <w:rsid w:val="009962F5"/>
    <w:rsid w:val="00996FEA"/>
    <w:rsid w:val="009A0194"/>
    <w:rsid w:val="009A0A5E"/>
    <w:rsid w:val="009A3B8F"/>
    <w:rsid w:val="009A6687"/>
    <w:rsid w:val="009A6996"/>
    <w:rsid w:val="009A6A84"/>
    <w:rsid w:val="009A7ABD"/>
    <w:rsid w:val="009B016F"/>
    <w:rsid w:val="009B3B93"/>
    <w:rsid w:val="009C0731"/>
    <w:rsid w:val="009C10F5"/>
    <w:rsid w:val="009C2A70"/>
    <w:rsid w:val="009C2D0D"/>
    <w:rsid w:val="009C726E"/>
    <w:rsid w:val="009D2ECB"/>
    <w:rsid w:val="009D32A7"/>
    <w:rsid w:val="009D367C"/>
    <w:rsid w:val="009D3EB2"/>
    <w:rsid w:val="009D7C79"/>
    <w:rsid w:val="009E0B71"/>
    <w:rsid w:val="009E39AD"/>
    <w:rsid w:val="009E3EA7"/>
    <w:rsid w:val="009E3F3E"/>
    <w:rsid w:val="009E480D"/>
    <w:rsid w:val="009E4A5D"/>
    <w:rsid w:val="009E575C"/>
    <w:rsid w:val="009E597C"/>
    <w:rsid w:val="009E5EB9"/>
    <w:rsid w:val="009E6312"/>
    <w:rsid w:val="009E6446"/>
    <w:rsid w:val="009E7734"/>
    <w:rsid w:val="009F0890"/>
    <w:rsid w:val="009F0E18"/>
    <w:rsid w:val="009F182E"/>
    <w:rsid w:val="009F1CD9"/>
    <w:rsid w:val="009F5581"/>
    <w:rsid w:val="009F7524"/>
    <w:rsid w:val="00A00465"/>
    <w:rsid w:val="00A02257"/>
    <w:rsid w:val="00A02297"/>
    <w:rsid w:val="00A03790"/>
    <w:rsid w:val="00A057BA"/>
    <w:rsid w:val="00A0630F"/>
    <w:rsid w:val="00A06383"/>
    <w:rsid w:val="00A063C8"/>
    <w:rsid w:val="00A120AB"/>
    <w:rsid w:val="00A14149"/>
    <w:rsid w:val="00A14552"/>
    <w:rsid w:val="00A15CDB"/>
    <w:rsid w:val="00A21164"/>
    <w:rsid w:val="00A22A63"/>
    <w:rsid w:val="00A24571"/>
    <w:rsid w:val="00A266ED"/>
    <w:rsid w:val="00A30DE3"/>
    <w:rsid w:val="00A34E17"/>
    <w:rsid w:val="00A35AA5"/>
    <w:rsid w:val="00A362D2"/>
    <w:rsid w:val="00A3673F"/>
    <w:rsid w:val="00A37020"/>
    <w:rsid w:val="00A37C23"/>
    <w:rsid w:val="00A40691"/>
    <w:rsid w:val="00A43CE0"/>
    <w:rsid w:val="00A4526C"/>
    <w:rsid w:val="00A45F50"/>
    <w:rsid w:val="00A51871"/>
    <w:rsid w:val="00A51ECE"/>
    <w:rsid w:val="00A522D3"/>
    <w:rsid w:val="00A525E0"/>
    <w:rsid w:val="00A527FC"/>
    <w:rsid w:val="00A54A64"/>
    <w:rsid w:val="00A55204"/>
    <w:rsid w:val="00A61EA7"/>
    <w:rsid w:val="00A63FA9"/>
    <w:rsid w:val="00A64134"/>
    <w:rsid w:val="00A6603C"/>
    <w:rsid w:val="00A67BC8"/>
    <w:rsid w:val="00A70430"/>
    <w:rsid w:val="00A70A2F"/>
    <w:rsid w:val="00A71CEF"/>
    <w:rsid w:val="00A74299"/>
    <w:rsid w:val="00A75345"/>
    <w:rsid w:val="00A755A5"/>
    <w:rsid w:val="00A7563F"/>
    <w:rsid w:val="00A756A7"/>
    <w:rsid w:val="00A75D80"/>
    <w:rsid w:val="00A76532"/>
    <w:rsid w:val="00A76845"/>
    <w:rsid w:val="00A76BF2"/>
    <w:rsid w:val="00A77C45"/>
    <w:rsid w:val="00A80EA2"/>
    <w:rsid w:val="00A8245E"/>
    <w:rsid w:val="00A82599"/>
    <w:rsid w:val="00A82CC7"/>
    <w:rsid w:val="00A83DEC"/>
    <w:rsid w:val="00A84761"/>
    <w:rsid w:val="00A85561"/>
    <w:rsid w:val="00A85ACD"/>
    <w:rsid w:val="00A86EA3"/>
    <w:rsid w:val="00A870F6"/>
    <w:rsid w:val="00A90F97"/>
    <w:rsid w:val="00A91E70"/>
    <w:rsid w:val="00A93EB9"/>
    <w:rsid w:val="00A949F6"/>
    <w:rsid w:val="00A95F89"/>
    <w:rsid w:val="00A96277"/>
    <w:rsid w:val="00AA00CD"/>
    <w:rsid w:val="00AA05B6"/>
    <w:rsid w:val="00AA1B5D"/>
    <w:rsid w:val="00AA3A8F"/>
    <w:rsid w:val="00AA5ED6"/>
    <w:rsid w:val="00AA65F1"/>
    <w:rsid w:val="00AB096C"/>
    <w:rsid w:val="00AB0B56"/>
    <w:rsid w:val="00AB5DEE"/>
    <w:rsid w:val="00AB61E3"/>
    <w:rsid w:val="00AB6A33"/>
    <w:rsid w:val="00AB767C"/>
    <w:rsid w:val="00AC1818"/>
    <w:rsid w:val="00AC273D"/>
    <w:rsid w:val="00AC3EE2"/>
    <w:rsid w:val="00AC56BF"/>
    <w:rsid w:val="00AC56D6"/>
    <w:rsid w:val="00AC7D9E"/>
    <w:rsid w:val="00AD0875"/>
    <w:rsid w:val="00AD3522"/>
    <w:rsid w:val="00AD4152"/>
    <w:rsid w:val="00AD5945"/>
    <w:rsid w:val="00AD6C40"/>
    <w:rsid w:val="00AD7D8C"/>
    <w:rsid w:val="00AE10EC"/>
    <w:rsid w:val="00AE2222"/>
    <w:rsid w:val="00AE75EA"/>
    <w:rsid w:val="00AF0507"/>
    <w:rsid w:val="00AF4777"/>
    <w:rsid w:val="00AF6C3D"/>
    <w:rsid w:val="00AF6C63"/>
    <w:rsid w:val="00B011A2"/>
    <w:rsid w:val="00B0369C"/>
    <w:rsid w:val="00B0402F"/>
    <w:rsid w:val="00B04165"/>
    <w:rsid w:val="00B04E23"/>
    <w:rsid w:val="00B0696D"/>
    <w:rsid w:val="00B0703F"/>
    <w:rsid w:val="00B07555"/>
    <w:rsid w:val="00B1123A"/>
    <w:rsid w:val="00B1410C"/>
    <w:rsid w:val="00B2131F"/>
    <w:rsid w:val="00B223FE"/>
    <w:rsid w:val="00B229B3"/>
    <w:rsid w:val="00B24067"/>
    <w:rsid w:val="00B24128"/>
    <w:rsid w:val="00B2603F"/>
    <w:rsid w:val="00B279BF"/>
    <w:rsid w:val="00B31F31"/>
    <w:rsid w:val="00B32CFF"/>
    <w:rsid w:val="00B3444D"/>
    <w:rsid w:val="00B35D7C"/>
    <w:rsid w:val="00B3664D"/>
    <w:rsid w:val="00B36ADB"/>
    <w:rsid w:val="00B37EC4"/>
    <w:rsid w:val="00B40DC6"/>
    <w:rsid w:val="00B40ED0"/>
    <w:rsid w:val="00B40F02"/>
    <w:rsid w:val="00B43C9C"/>
    <w:rsid w:val="00B44FA0"/>
    <w:rsid w:val="00B46439"/>
    <w:rsid w:val="00B46D7D"/>
    <w:rsid w:val="00B47F1B"/>
    <w:rsid w:val="00B50E5B"/>
    <w:rsid w:val="00B50ED5"/>
    <w:rsid w:val="00B517C3"/>
    <w:rsid w:val="00B520FC"/>
    <w:rsid w:val="00B5348D"/>
    <w:rsid w:val="00B545C7"/>
    <w:rsid w:val="00B547F2"/>
    <w:rsid w:val="00B55B6C"/>
    <w:rsid w:val="00B56682"/>
    <w:rsid w:val="00B60809"/>
    <w:rsid w:val="00B6308A"/>
    <w:rsid w:val="00B6379C"/>
    <w:rsid w:val="00B65238"/>
    <w:rsid w:val="00B652C7"/>
    <w:rsid w:val="00B65548"/>
    <w:rsid w:val="00B66101"/>
    <w:rsid w:val="00B67CEE"/>
    <w:rsid w:val="00B7023E"/>
    <w:rsid w:val="00B72341"/>
    <w:rsid w:val="00B7538A"/>
    <w:rsid w:val="00B75918"/>
    <w:rsid w:val="00B76074"/>
    <w:rsid w:val="00B80BAB"/>
    <w:rsid w:val="00B81F30"/>
    <w:rsid w:val="00B91FB1"/>
    <w:rsid w:val="00B92BA2"/>
    <w:rsid w:val="00B92D96"/>
    <w:rsid w:val="00B93882"/>
    <w:rsid w:val="00B93AF5"/>
    <w:rsid w:val="00B95AE1"/>
    <w:rsid w:val="00BA0516"/>
    <w:rsid w:val="00BA2FCB"/>
    <w:rsid w:val="00BA36ED"/>
    <w:rsid w:val="00BA3815"/>
    <w:rsid w:val="00BA5174"/>
    <w:rsid w:val="00BA6905"/>
    <w:rsid w:val="00BA6B75"/>
    <w:rsid w:val="00BB1666"/>
    <w:rsid w:val="00BC3F78"/>
    <w:rsid w:val="00BC4188"/>
    <w:rsid w:val="00BC45C9"/>
    <w:rsid w:val="00BC543C"/>
    <w:rsid w:val="00BC5926"/>
    <w:rsid w:val="00BC78A9"/>
    <w:rsid w:val="00BD1219"/>
    <w:rsid w:val="00BD1CBF"/>
    <w:rsid w:val="00BD36FC"/>
    <w:rsid w:val="00BD4313"/>
    <w:rsid w:val="00BD7587"/>
    <w:rsid w:val="00BD79F4"/>
    <w:rsid w:val="00BE57E8"/>
    <w:rsid w:val="00BF0A1B"/>
    <w:rsid w:val="00BF3DFD"/>
    <w:rsid w:val="00BF4984"/>
    <w:rsid w:val="00BF49EF"/>
    <w:rsid w:val="00BF5772"/>
    <w:rsid w:val="00BF5AC8"/>
    <w:rsid w:val="00C002B4"/>
    <w:rsid w:val="00C01FA7"/>
    <w:rsid w:val="00C026B0"/>
    <w:rsid w:val="00C041AA"/>
    <w:rsid w:val="00C04A88"/>
    <w:rsid w:val="00C04C25"/>
    <w:rsid w:val="00C0626A"/>
    <w:rsid w:val="00C07262"/>
    <w:rsid w:val="00C07EBD"/>
    <w:rsid w:val="00C138D1"/>
    <w:rsid w:val="00C13977"/>
    <w:rsid w:val="00C14928"/>
    <w:rsid w:val="00C15DAD"/>
    <w:rsid w:val="00C15E96"/>
    <w:rsid w:val="00C16D0B"/>
    <w:rsid w:val="00C17097"/>
    <w:rsid w:val="00C223B9"/>
    <w:rsid w:val="00C22BDB"/>
    <w:rsid w:val="00C22C71"/>
    <w:rsid w:val="00C22FA8"/>
    <w:rsid w:val="00C232B0"/>
    <w:rsid w:val="00C23420"/>
    <w:rsid w:val="00C24A20"/>
    <w:rsid w:val="00C267D4"/>
    <w:rsid w:val="00C27014"/>
    <w:rsid w:val="00C272EE"/>
    <w:rsid w:val="00C33711"/>
    <w:rsid w:val="00C34914"/>
    <w:rsid w:val="00C3585E"/>
    <w:rsid w:val="00C35B9C"/>
    <w:rsid w:val="00C35C99"/>
    <w:rsid w:val="00C362C0"/>
    <w:rsid w:val="00C365B8"/>
    <w:rsid w:val="00C443BB"/>
    <w:rsid w:val="00C45998"/>
    <w:rsid w:val="00C45AEA"/>
    <w:rsid w:val="00C46F3F"/>
    <w:rsid w:val="00C47ADE"/>
    <w:rsid w:val="00C47CBA"/>
    <w:rsid w:val="00C47F9B"/>
    <w:rsid w:val="00C51A0A"/>
    <w:rsid w:val="00C550B9"/>
    <w:rsid w:val="00C5547A"/>
    <w:rsid w:val="00C5761D"/>
    <w:rsid w:val="00C5778D"/>
    <w:rsid w:val="00C57959"/>
    <w:rsid w:val="00C61154"/>
    <w:rsid w:val="00C61328"/>
    <w:rsid w:val="00C64392"/>
    <w:rsid w:val="00C64BAF"/>
    <w:rsid w:val="00C65CD4"/>
    <w:rsid w:val="00C67638"/>
    <w:rsid w:val="00C677C0"/>
    <w:rsid w:val="00C71ECA"/>
    <w:rsid w:val="00C71F2E"/>
    <w:rsid w:val="00C73EBF"/>
    <w:rsid w:val="00C75830"/>
    <w:rsid w:val="00C76E4D"/>
    <w:rsid w:val="00C774D1"/>
    <w:rsid w:val="00C801E1"/>
    <w:rsid w:val="00C84019"/>
    <w:rsid w:val="00C85EB2"/>
    <w:rsid w:val="00C85FB4"/>
    <w:rsid w:val="00C87B9B"/>
    <w:rsid w:val="00C90657"/>
    <w:rsid w:val="00C918E0"/>
    <w:rsid w:val="00C91D7E"/>
    <w:rsid w:val="00C92D66"/>
    <w:rsid w:val="00C932BD"/>
    <w:rsid w:val="00C9331B"/>
    <w:rsid w:val="00C9380D"/>
    <w:rsid w:val="00C9515B"/>
    <w:rsid w:val="00C95A08"/>
    <w:rsid w:val="00C96A4D"/>
    <w:rsid w:val="00C97302"/>
    <w:rsid w:val="00C974BD"/>
    <w:rsid w:val="00C978B9"/>
    <w:rsid w:val="00CA063A"/>
    <w:rsid w:val="00CA1F6A"/>
    <w:rsid w:val="00CA4745"/>
    <w:rsid w:val="00CA5938"/>
    <w:rsid w:val="00CA5AF4"/>
    <w:rsid w:val="00CA5D7F"/>
    <w:rsid w:val="00CA5FC3"/>
    <w:rsid w:val="00CA7217"/>
    <w:rsid w:val="00CA747D"/>
    <w:rsid w:val="00CB036C"/>
    <w:rsid w:val="00CB2E84"/>
    <w:rsid w:val="00CB3D1A"/>
    <w:rsid w:val="00CB464E"/>
    <w:rsid w:val="00CB61A0"/>
    <w:rsid w:val="00CB75E5"/>
    <w:rsid w:val="00CC2CD9"/>
    <w:rsid w:val="00CC2CE8"/>
    <w:rsid w:val="00CC47BF"/>
    <w:rsid w:val="00CC5817"/>
    <w:rsid w:val="00CC7C17"/>
    <w:rsid w:val="00CD3717"/>
    <w:rsid w:val="00CD3F00"/>
    <w:rsid w:val="00CD5CA8"/>
    <w:rsid w:val="00CD5F57"/>
    <w:rsid w:val="00CD6BA6"/>
    <w:rsid w:val="00CE17D7"/>
    <w:rsid w:val="00CE5B1D"/>
    <w:rsid w:val="00CE5BA4"/>
    <w:rsid w:val="00CF008C"/>
    <w:rsid w:val="00CF0299"/>
    <w:rsid w:val="00CF15AA"/>
    <w:rsid w:val="00CF4997"/>
    <w:rsid w:val="00CF61A2"/>
    <w:rsid w:val="00D009F6"/>
    <w:rsid w:val="00D01DB5"/>
    <w:rsid w:val="00D01DE9"/>
    <w:rsid w:val="00D03021"/>
    <w:rsid w:val="00D05B7B"/>
    <w:rsid w:val="00D06455"/>
    <w:rsid w:val="00D145C0"/>
    <w:rsid w:val="00D1470C"/>
    <w:rsid w:val="00D14A26"/>
    <w:rsid w:val="00D157C5"/>
    <w:rsid w:val="00D201B3"/>
    <w:rsid w:val="00D248B7"/>
    <w:rsid w:val="00D24CCB"/>
    <w:rsid w:val="00D24E35"/>
    <w:rsid w:val="00D2560A"/>
    <w:rsid w:val="00D259B5"/>
    <w:rsid w:val="00D25C96"/>
    <w:rsid w:val="00D26B31"/>
    <w:rsid w:val="00D2725D"/>
    <w:rsid w:val="00D27EC5"/>
    <w:rsid w:val="00D30028"/>
    <w:rsid w:val="00D31E55"/>
    <w:rsid w:val="00D31F7B"/>
    <w:rsid w:val="00D32E1D"/>
    <w:rsid w:val="00D336FE"/>
    <w:rsid w:val="00D34DFE"/>
    <w:rsid w:val="00D35E99"/>
    <w:rsid w:val="00D37519"/>
    <w:rsid w:val="00D37CC3"/>
    <w:rsid w:val="00D41B3C"/>
    <w:rsid w:val="00D45F77"/>
    <w:rsid w:val="00D50088"/>
    <w:rsid w:val="00D57BD0"/>
    <w:rsid w:val="00D60597"/>
    <w:rsid w:val="00D6122E"/>
    <w:rsid w:val="00D6282F"/>
    <w:rsid w:val="00D64474"/>
    <w:rsid w:val="00D64638"/>
    <w:rsid w:val="00D64C06"/>
    <w:rsid w:val="00D64DCD"/>
    <w:rsid w:val="00D64DE4"/>
    <w:rsid w:val="00D6559B"/>
    <w:rsid w:val="00D66802"/>
    <w:rsid w:val="00D67A8B"/>
    <w:rsid w:val="00D67B84"/>
    <w:rsid w:val="00D70B0D"/>
    <w:rsid w:val="00D74850"/>
    <w:rsid w:val="00D75757"/>
    <w:rsid w:val="00D7762B"/>
    <w:rsid w:val="00D77D7D"/>
    <w:rsid w:val="00D8231D"/>
    <w:rsid w:val="00D83555"/>
    <w:rsid w:val="00D87288"/>
    <w:rsid w:val="00D903AB"/>
    <w:rsid w:val="00D904C8"/>
    <w:rsid w:val="00D9203A"/>
    <w:rsid w:val="00D9376A"/>
    <w:rsid w:val="00D95C64"/>
    <w:rsid w:val="00D96261"/>
    <w:rsid w:val="00DA0A2D"/>
    <w:rsid w:val="00DA0A53"/>
    <w:rsid w:val="00DA27C4"/>
    <w:rsid w:val="00DA3502"/>
    <w:rsid w:val="00DA457E"/>
    <w:rsid w:val="00DA65BD"/>
    <w:rsid w:val="00DA6BE6"/>
    <w:rsid w:val="00DA75A9"/>
    <w:rsid w:val="00DB0F65"/>
    <w:rsid w:val="00DB14CE"/>
    <w:rsid w:val="00DB3CA1"/>
    <w:rsid w:val="00DB4171"/>
    <w:rsid w:val="00DB4940"/>
    <w:rsid w:val="00DB4946"/>
    <w:rsid w:val="00DB7019"/>
    <w:rsid w:val="00DC006B"/>
    <w:rsid w:val="00DC147C"/>
    <w:rsid w:val="00DC18CB"/>
    <w:rsid w:val="00DC338F"/>
    <w:rsid w:val="00DC3A8C"/>
    <w:rsid w:val="00DC400E"/>
    <w:rsid w:val="00DC4999"/>
    <w:rsid w:val="00DC5819"/>
    <w:rsid w:val="00DD06BE"/>
    <w:rsid w:val="00DD0F46"/>
    <w:rsid w:val="00DD1135"/>
    <w:rsid w:val="00DD1535"/>
    <w:rsid w:val="00DD15D6"/>
    <w:rsid w:val="00DD1BC8"/>
    <w:rsid w:val="00DD3989"/>
    <w:rsid w:val="00DD5734"/>
    <w:rsid w:val="00DD61DC"/>
    <w:rsid w:val="00DD7581"/>
    <w:rsid w:val="00DE1E21"/>
    <w:rsid w:val="00DE405D"/>
    <w:rsid w:val="00DE54F9"/>
    <w:rsid w:val="00DE6AF8"/>
    <w:rsid w:val="00DF3CE0"/>
    <w:rsid w:val="00DF3DC9"/>
    <w:rsid w:val="00DF3F93"/>
    <w:rsid w:val="00DF3FAA"/>
    <w:rsid w:val="00DF42A4"/>
    <w:rsid w:val="00DF4B37"/>
    <w:rsid w:val="00DF59CB"/>
    <w:rsid w:val="00E0112D"/>
    <w:rsid w:val="00E038D5"/>
    <w:rsid w:val="00E04F5B"/>
    <w:rsid w:val="00E058FB"/>
    <w:rsid w:val="00E0611D"/>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105"/>
    <w:rsid w:val="00E315F8"/>
    <w:rsid w:val="00E31B30"/>
    <w:rsid w:val="00E31CD3"/>
    <w:rsid w:val="00E334D8"/>
    <w:rsid w:val="00E36116"/>
    <w:rsid w:val="00E37F6E"/>
    <w:rsid w:val="00E37F8A"/>
    <w:rsid w:val="00E41B3C"/>
    <w:rsid w:val="00E42376"/>
    <w:rsid w:val="00E4329E"/>
    <w:rsid w:val="00E43C5B"/>
    <w:rsid w:val="00E44CB1"/>
    <w:rsid w:val="00E4720E"/>
    <w:rsid w:val="00E47997"/>
    <w:rsid w:val="00E5168D"/>
    <w:rsid w:val="00E530A5"/>
    <w:rsid w:val="00E531A9"/>
    <w:rsid w:val="00E5503B"/>
    <w:rsid w:val="00E565D0"/>
    <w:rsid w:val="00E60644"/>
    <w:rsid w:val="00E62A50"/>
    <w:rsid w:val="00E62C1F"/>
    <w:rsid w:val="00E62FC0"/>
    <w:rsid w:val="00E63C28"/>
    <w:rsid w:val="00E6406F"/>
    <w:rsid w:val="00E6495E"/>
    <w:rsid w:val="00E6649A"/>
    <w:rsid w:val="00E71EAD"/>
    <w:rsid w:val="00E720F5"/>
    <w:rsid w:val="00E74F63"/>
    <w:rsid w:val="00E75108"/>
    <w:rsid w:val="00E752E9"/>
    <w:rsid w:val="00E802BF"/>
    <w:rsid w:val="00E80B45"/>
    <w:rsid w:val="00E8208B"/>
    <w:rsid w:val="00E827B0"/>
    <w:rsid w:val="00E84E8F"/>
    <w:rsid w:val="00E86271"/>
    <w:rsid w:val="00E867B1"/>
    <w:rsid w:val="00E87403"/>
    <w:rsid w:val="00E877C1"/>
    <w:rsid w:val="00E87940"/>
    <w:rsid w:val="00E87CAB"/>
    <w:rsid w:val="00E903AC"/>
    <w:rsid w:val="00E918B5"/>
    <w:rsid w:val="00E91D2A"/>
    <w:rsid w:val="00E97B2E"/>
    <w:rsid w:val="00E97E4E"/>
    <w:rsid w:val="00EA0BC5"/>
    <w:rsid w:val="00EA1249"/>
    <w:rsid w:val="00EA23B7"/>
    <w:rsid w:val="00EA2ACF"/>
    <w:rsid w:val="00EA2DA2"/>
    <w:rsid w:val="00EA2DF3"/>
    <w:rsid w:val="00EA5D0F"/>
    <w:rsid w:val="00EB0511"/>
    <w:rsid w:val="00EB277F"/>
    <w:rsid w:val="00EB431F"/>
    <w:rsid w:val="00EB64B8"/>
    <w:rsid w:val="00EB76CB"/>
    <w:rsid w:val="00EB79EF"/>
    <w:rsid w:val="00EB7F9D"/>
    <w:rsid w:val="00EC1512"/>
    <w:rsid w:val="00EC20DC"/>
    <w:rsid w:val="00EC237B"/>
    <w:rsid w:val="00EC6E64"/>
    <w:rsid w:val="00EC6EFC"/>
    <w:rsid w:val="00ED00C2"/>
    <w:rsid w:val="00ED118C"/>
    <w:rsid w:val="00ED1702"/>
    <w:rsid w:val="00ED25E3"/>
    <w:rsid w:val="00ED368F"/>
    <w:rsid w:val="00ED3CA2"/>
    <w:rsid w:val="00ED472C"/>
    <w:rsid w:val="00ED6402"/>
    <w:rsid w:val="00ED649D"/>
    <w:rsid w:val="00EE0C9A"/>
    <w:rsid w:val="00EE12A2"/>
    <w:rsid w:val="00EE35DA"/>
    <w:rsid w:val="00EE6CE5"/>
    <w:rsid w:val="00EE75EC"/>
    <w:rsid w:val="00EF0BF3"/>
    <w:rsid w:val="00EF21AB"/>
    <w:rsid w:val="00EF3C9D"/>
    <w:rsid w:val="00EF4821"/>
    <w:rsid w:val="00EF5BA6"/>
    <w:rsid w:val="00EF6A76"/>
    <w:rsid w:val="00F035CC"/>
    <w:rsid w:val="00F03BB7"/>
    <w:rsid w:val="00F04F7D"/>
    <w:rsid w:val="00F06811"/>
    <w:rsid w:val="00F06934"/>
    <w:rsid w:val="00F1031C"/>
    <w:rsid w:val="00F11AD1"/>
    <w:rsid w:val="00F12900"/>
    <w:rsid w:val="00F12E9D"/>
    <w:rsid w:val="00F14555"/>
    <w:rsid w:val="00F14DF4"/>
    <w:rsid w:val="00F1584F"/>
    <w:rsid w:val="00F15E5E"/>
    <w:rsid w:val="00F16741"/>
    <w:rsid w:val="00F20050"/>
    <w:rsid w:val="00F2024E"/>
    <w:rsid w:val="00F24757"/>
    <w:rsid w:val="00F2571A"/>
    <w:rsid w:val="00F25F6C"/>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0913"/>
    <w:rsid w:val="00F53A24"/>
    <w:rsid w:val="00F548BF"/>
    <w:rsid w:val="00F555D8"/>
    <w:rsid w:val="00F57975"/>
    <w:rsid w:val="00F617C7"/>
    <w:rsid w:val="00F63E26"/>
    <w:rsid w:val="00F63FA7"/>
    <w:rsid w:val="00F66266"/>
    <w:rsid w:val="00F66D56"/>
    <w:rsid w:val="00F672A0"/>
    <w:rsid w:val="00F67852"/>
    <w:rsid w:val="00F72BA5"/>
    <w:rsid w:val="00F74562"/>
    <w:rsid w:val="00F749A4"/>
    <w:rsid w:val="00F74BFF"/>
    <w:rsid w:val="00F75EF9"/>
    <w:rsid w:val="00F80E67"/>
    <w:rsid w:val="00F81431"/>
    <w:rsid w:val="00F82237"/>
    <w:rsid w:val="00F83022"/>
    <w:rsid w:val="00F83A7A"/>
    <w:rsid w:val="00F84AE8"/>
    <w:rsid w:val="00F84D18"/>
    <w:rsid w:val="00F8592D"/>
    <w:rsid w:val="00F87AFC"/>
    <w:rsid w:val="00F94011"/>
    <w:rsid w:val="00F943D7"/>
    <w:rsid w:val="00F9774A"/>
    <w:rsid w:val="00FA1399"/>
    <w:rsid w:val="00FA190D"/>
    <w:rsid w:val="00FA3A77"/>
    <w:rsid w:val="00FA4A44"/>
    <w:rsid w:val="00FA7304"/>
    <w:rsid w:val="00FB0070"/>
    <w:rsid w:val="00FB048D"/>
    <w:rsid w:val="00FB1347"/>
    <w:rsid w:val="00FB25EE"/>
    <w:rsid w:val="00FB27B0"/>
    <w:rsid w:val="00FC1BDC"/>
    <w:rsid w:val="00FC1D6A"/>
    <w:rsid w:val="00FC2FCD"/>
    <w:rsid w:val="00FC3181"/>
    <w:rsid w:val="00FC41C4"/>
    <w:rsid w:val="00FC5AC5"/>
    <w:rsid w:val="00FC64E7"/>
    <w:rsid w:val="00FD0369"/>
    <w:rsid w:val="00FD1905"/>
    <w:rsid w:val="00FE270A"/>
    <w:rsid w:val="00FE3F43"/>
    <w:rsid w:val="00FE5C48"/>
    <w:rsid w:val="00FE6656"/>
    <w:rsid w:val="00FF191E"/>
    <w:rsid w:val="00FF1C52"/>
    <w:rsid w:val="00FF1F31"/>
    <w:rsid w:val="00FF4FFF"/>
    <w:rsid w:val="00FF54EA"/>
    <w:rsid w:val="021C6758"/>
    <w:rsid w:val="069C8500"/>
    <w:rsid w:val="0BB22A8B"/>
    <w:rsid w:val="0F540653"/>
    <w:rsid w:val="13E54CC8"/>
    <w:rsid w:val="160A9B5C"/>
    <w:rsid w:val="1AADFD2D"/>
    <w:rsid w:val="286A7428"/>
    <w:rsid w:val="2E5D2F43"/>
    <w:rsid w:val="34CC70C7"/>
    <w:rsid w:val="3642D58A"/>
    <w:rsid w:val="3B2289EE"/>
    <w:rsid w:val="3DAB5EAC"/>
    <w:rsid w:val="3E7DC821"/>
    <w:rsid w:val="4102E661"/>
    <w:rsid w:val="479E0858"/>
    <w:rsid w:val="4A125E98"/>
    <w:rsid w:val="4F64116D"/>
    <w:rsid w:val="51AFDCC2"/>
    <w:rsid w:val="5273CA07"/>
    <w:rsid w:val="52EF8710"/>
    <w:rsid w:val="5C2A9B08"/>
    <w:rsid w:val="5EB8FF6C"/>
    <w:rsid w:val="61233093"/>
    <w:rsid w:val="6D15651B"/>
    <w:rsid w:val="6EC607BB"/>
    <w:rsid w:val="711AE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FCCEB"/>
  <w15:docId w15:val="{7B2966D8-AF17-4053-BFF7-8D6CFDD7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pPr>
        <w:spacing w:after="80"/>
      </w:pPr>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14"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36"/>
    <w:rPr>
      <w:rFonts w:ascii="Arial" w:hAnsi="Arial"/>
      <w:sz w:val="22"/>
    </w:rPr>
  </w:style>
  <w:style w:type="paragraph" w:styleId="Heading1">
    <w:name w:val="heading 1"/>
    <w:basedOn w:val="Normal"/>
    <w:next w:val="Normal"/>
    <w:link w:val="Heading1Char"/>
    <w:uiPriority w:val="1"/>
    <w:qFormat/>
    <w:rsid w:val="000C453F"/>
    <w:pPr>
      <w:keepNext/>
      <w:spacing w:line="400" w:lineRule="atLeast"/>
      <w:outlineLvl w:val="0"/>
    </w:pPr>
    <w:rPr>
      <w:rFonts w:cs="Arial"/>
      <w:b/>
      <w:bCs/>
      <w:kern w:val="32"/>
      <w:sz w:val="42"/>
      <w:szCs w:val="32"/>
    </w:rPr>
  </w:style>
  <w:style w:type="paragraph" w:styleId="Heading2">
    <w:name w:val="heading 2"/>
    <w:basedOn w:val="Normal"/>
    <w:next w:val="Normal"/>
    <w:link w:val="Heading2Char"/>
    <w:uiPriority w:val="1"/>
    <w:qFormat/>
    <w:rsid w:val="000C453F"/>
    <w:pPr>
      <w:keepNext/>
      <w:spacing w:before="360" w:after="120"/>
      <w:outlineLvl w:val="1"/>
    </w:pPr>
    <w:rPr>
      <w:rFonts w:cs="Arial"/>
      <w:b/>
      <w:bCs/>
      <w:iCs/>
      <w:sz w:val="26"/>
      <w:szCs w:val="28"/>
    </w:rPr>
  </w:style>
  <w:style w:type="paragraph" w:styleId="Heading3">
    <w:name w:val="heading 3"/>
    <w:basedOn w:val="Normal"/>
    <w:next w:val="Normal"/>
    <w:uiPriority w:val="1"/>
    <w:semiHidden/>
    <w:rsid w:val="000C453F"/>
    <w:pPr>
      <w:keepNext/>
      <w:spacing w:before="240" w:after="120"/>
      <w:outlineLvl w:val="2"/>
    </w:pPr>
    <w:rPr>
      <w:rFonts w:asciiTheme="majorHAnsi" w:hAnsiTheme="majorHAnsi" w:cs="Arial"/>
      <w:b/>
      <w:bCs/>
      <w:color w:val="6D6E71"/>
      <w:sz w:val="24"/>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OSRlevel1bullet10pt">
    <w:name w:val="OSR level 1 bullet 10 pt"/>
    <w:basedOn w:val="Normal"/>
    <w:rsid w:val="005505E4"/>
    <w:pPr>
      <w:numPr>
        <w:numId w:val="28"/>
      </w:numPr>
      <w:spacing w:after="0"/>
    </w:pPr>
    <w:rPr>
      <w:rFonts w:ascii="Times New Roman" w:eastAsia="Times New Roman" w:hAnsi="Times New Roman"/>
      <w:sz w:val="24"/>
      <w:szCs w:val="24"/>
      <w:lang w:eastAsia="en-AU"/>
    </w:rPr>
  </w:style>
  <w:style w:type="paragraph" w:customStyle="1" w:styleId="Pa18">
    <w:name w:val="Pa18"/>
    <w:basedOn w:val="Normal"/>
    <w:next w:val="Normal"/>
    <w:uiPriority w:val="99"/>
    <w:rsid w:val="00A37020"/>
    <w:pPr>
      <w:autoSpaceDE w:val="0"/>
      <w:autoSpaceDN w:val="0"/>
      <w:adjustRightInd w:val="0"/>
      <w:spacing w:after="0" w:line="161" w:lineRule="atLeast"/>
    </w:pPr>
    <w:rPr>
      <w:rFonts w:ascii="Rooney" w:hAnsi="Rooney"/>
      <w:sz w:val="24"/>
      <w:szCs w:val="24"/>
    </w:rPr>
  </w:style>
  <w:style w:type="character" w:customStyle="1" w:styleId="Heading1Char">
    <w:name w:val="Heading 1 Char"/>
    <w:basedOn w:val="DefaultParagraphFont"/>
    <w:link w:val="Heading1"/>
    <w:uiPriority w:val="1"/>
    <w:rsid w:val="000C453F"/>
    <w:rPr>
      <w:rFonts w:ascii="Arial" w:hAnsi="Arial" w:cs="Arial"/>
      <w:b/>
      <w:bCs/>
      <w:kern w:val="32"/>
      <w:sz w:val="42"/>
      <w:szCs w:val="32"/>
    </w:rPr>
  </w:style>
  <w:style w:type="paragraph" w:customStyle="1" w:styleId="msonormal0">
    <w:name w:val="msonormal"/>
    <w:basedOn w:val="Normal"/>
    <w:uiPriority w:val="99"/>
    <w:semiHidden/>
    <w:rsid w:val="00550DF7"/>
    <w:pPr>
      <w:shd w:val="clear" w:color="auto" w:fill="F7F7F7"/>
      <w:tabs>
        <w:tab w:val="num" w:pos="360"/>
      </w:tabs>
      <w:spacing w:after="0" w:line="270" w:lineRule="atLeast"/>
    </w:pPr>
    <w:rPr>
      <w:rFonts w:asciiTheme="minorHAnsi" w:hAnsiTheme="minorHAnsi" w:cstheme="minorBidi"/>
      <w:szCs w:val="22"/>
    </w:rPr>
  </w:style>
  <w:style w:type="character" w:customStyle="1" w:styleId="Heading2Char">
    <w:name w:val="Heading 2 Char"/>
    <w:basedOn w:val="DefaultParagraphFont"/>
    <w:link w:val="Heading2"/>
    <w:uiPriority w:val="1"/>
    <w:rsid w:val="004A3696"/>
    <w:rPr>
      <w:rFonts w:ascii="Arial" w:hAnsi="Arial" w:cs="Arial"/>
      <w:b/>
      <w:bCs/>
      <w:iCs/>
      <w:sz w:val="26"/>
      <w:szCs w:val="28"/>
    </w:rPr>
  </w:style>
  <w:style w:type="paragraph" w:customStyle="1" w:styleId="Default">
    <w:name w:val="Default"/>
    <w:rsid w:val="003D77E8"/>
    <w:pPr>
      <w:autoSpaceDE w:val="0"/>
      <w:autoSpaceDN w:val="0"/>
      <w:adjustRightInd w:val="0"/>
      <w:spacing w:after="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FD0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4090467">
      <w:bodyDiv w:val="1"/>
      <w:marLeft w:val="0"/>
      <w:marRight w:val="0"/>
      <w:marTop w:val="0"/>
      <w:marBottom w:val="0"/>
      <w:divBdr>
        <w:top w:val="none" w:sz="0" w:space="0" w:color="auto"/>
        <w:left w:val="none" w:sz="0" w:space="0" w:color="auto"/>
        <w:bottom w:val="none" w:sz="0" w:space="0" w:color="auto"/>
        <w:right w:val="none" w:sz="0" w:space="0" w:color="auto"/>
      </w:divBdr>
    </w:div>
    <w:div w:id="517164224">
      <w:bodyDiv w:val="1"/>
      <w:marLeft w:val="0"/>
      <w:marRight w:val="0"/>
      <w:marTop w:val="0"/>
      <w:marBottom w:val="0"/>
      <w:divBdr>
        <w:top w:val="none" w:sz="0" w:space="0" w:color="auto"/>
        <w:left w:val="none" w:sz="0" w:space="0" w:color="auto"/>
        <w:bottom w:val="none" w:sz="0" w:space="0" w:color="auto"/>
        <w:right w:val="none" w:sz="0" w:space="0" w:color="auto"/>
      </w:divBdr>
    </w:div>
    <w:div w:id="625702572">
      <w:bodyDiv w:val="1"/>
      <w:marLeft w:val="0"/>
      <w:marRight w:val="0"/>
      <w:marTop w:val="0"/>
      <w:marBottom w:val="0"/>
      <w:divBdr>
        <w:top w:val="none" w:sz="0" w:space="0" w:color="auto"/>
        <w:left w:val="none" w:sz="0" w:space="0" w:color="auto"/>
        <w:bottom w:val="none" w:sz="0" w:space="0" w:color="auto"/>
        <w:right w:val="none" w:sz="0" w:space="0" w:color="auto"/>
      </w:divBdr>
    </w:div>
    <w:div w:id="679699445">
      <w:bodyDiv w:val="1"/>
      <w:marLeft w:val="0"/>
      <w:marRight w:val="0"/>
      <w:marTop w:val="0"/>
      <w:marBottom w:val="0"/>
      <w:divBdr>
        <w:top w:val="none" w:sz="0" w:space="0" w:color="auto"/>
        <w:left w:val="none" w:sz="0" w:space="0" w:color="auto"/>
        <w:bottom w:val="none" w:sz="0" w:space="0" w:color="auto"/>
        <w:right w:val="none" w:sz="0" w:space="0" w:color="auto"/>
      </w:divBdr>
    </w:div>
    <w:div w:id="7255645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53112795">
      <w:bodyDiv w:val="1"/>
      <w:marLeft w:val="0"/>
      <w:marRight w:val="0"/>
      <w:marTop w:val="0"/>
      <w:marBottom w:val="0"/>
      <w:divBdr>
        <w:top w:val="none" w:sz="0" w:space="0" w:color="auto"/>
        <w:left w:val="none" w:sz="0" w:space="0" w:color="auto"/>
        <w:bottom w:val="none" w:sz="0" w:space="0" w:color="auto"/>
        <w:right w:val="none" w:sz="0" w:space="0" w:color="auto"/>
      </w:divBdr>
    </w:div>
    <w:div w:id="86502641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9399998">
      <w:bodyDiv w:val="1"/>
      <w:marLeft w:val="0"/>
      <w:marRight w:val="0"/>
      <w:marTop w:val="0"/>
      <w:marBottom w:val="0"/>
      <w:divBdr>
        <w:top w:val="none" w:sz="0" w:space="0" w:color="auto"/>
        <w:left w:val="none" w:sz="0" w:space="0" w:color="auto"/>
        <w:bottom w:val="none" w:sz="0" w:space="0" w:color="auto"/>
        <w:right w:val="none" w:sz="0" w:space="0" w:color="auto"/>
      </w:divBdr>
    </w:div>
    <w:div w:id="1201434349">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0616398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14046411">
      <w:bodyDiv w:val="1"/>
      <w:marLeft w:val="0"/>
      <w:marRight w:val="0"/>
      <w:marTop w:val="0"/>
      <w:marBottom w:val="0"/>
      <w:divBdr>
        <w:top w:val="none" w:sz="0" w:space="0" w:color="auto"/>
        <w:left w:val="none" w:sz="0" w:space="0" w:color="auto"/>
        <w:bottom w:val="none" w:sz="0" w:space="0" w:color="auto"/>
        <w:right w:val="none" w:sz="0" w:space="0" w:color="auto"/>
      </w:divBdr>
    </w:div>
    <w:div w:id="19535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c.nsw.gov.au/workforce-management/capability-framework/the-capability-framework"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dpie.nsw.gov.au"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am xmlns="0931f755-0dac-42fc-a99b-3cb9f3aa30c0" xsi:nil="true"/>
    <SharedWithUsers xmlns="03bb7309-0704-4e3d-9fdb-ace8fa3fe4f5">
      <UserInfo>
        <DisplayName>Christopher Martin</DisplayName>
        <AccountId>18</AccountId>
        <AccountType/>
      </UserInfo>
      <UserInfo>
        <DisplayName>Stuart Crawford</DisplayName>
        <AccountId>44</AccountId>
        <AccountType/>
      </UserInfo>
      <UserInfo>
        <DisplayName>Kevin Soo</DisplayName>
        <AccountId>164</AccountId>
        <AccountType/>
      </UserInfo>
      <UserInfo>
        <DisplayName>Renu Gangopadhyay</DisplayName>
        <AccountId>174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8FCCDB8AE8DC46AA92451A72C126C0" ma:contentTypeVersion="12" ma:contentTypeDescription="Create a new document." ma:contentTypeScope="" ma:versionID="2e24af6f43952b515cb395e104e91f43">
  <xsd:schema xmlns:xsd="http://www.w3.org/2001/XMLSchema" xmlns:xs="http://www.w3.org/2001/XMLSchema" xmlns:p="http://schemas.microsoft.com/office/2006/metadata/properties" xmlns:ns2="0931f755-0dac-42fc-a99b-3cb9f3aa30c0" xmlns:ns3="03bb7309-0704-4e3d-9fdb-ace8fa3fe4f5" targetNamespace="http://schemas.microsoft.com/office/2006/metadata/properties" ma:root="true" ma:fieldsID="59a25dd78b02957b99deda42d8916a49" ns2:_="" ns3:_="">
    <xsd:import namespace="0931f755-0dac-42fc-a99b-3cb9f3aa30c0"/>
    <xsd:import namespace="03bb7309-0704-4e3d-9fdb-ace8fa3fe4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hbam"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1f755-0dac-42fc-a99b-3cb9f3aa3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hbam" ma:index="18" nillable="true" ma:displayName="Text" ma:internalName="hbam">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bb7309-0704-4e3d-9fdb-ace8fa3fe4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5D03-F373-44C6-808C-99A947C15719}">
  <ds:schemaRefs>
    <ds:schemaRef ds:uri="http://schemas.microsoft.com/office/2006/metadata/properties"/>
    <ds:schemaRef ds:uri="http://schemas.microsoft.com/office/infopath/2007/PartnerControls"/>
    <ds:schemaRef ds:uri="0931f755-0dac-42fc-a99b-3cb9f3aa30c0"/>
    <ds:schemaRef ds:uri="03bb7309-0704-4e3d-9fdb-ace8fa3fe4f5"/>
  </ds:schemaRefs>
</ds:datastoreItem>
</file>

<file path=customXml/itemProps2.xml><?xml version="1.0" encoding="utf-8"?>
<ds:datastoreItem xmlns:ds="http://schemas.openxmlformats.org/officeDocument/2006/customXml" ds:itemID="{88A94347-8D1F-4CE1-8112-6C637AEF6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1f755-0dac-42fc-a99b-3cb9f3aa30c0"/>
    <ds:schemaRef ds:uri="03bb7309-0704-4e3d-9fdb-ace8fa3fe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33015-558F-4D15-90EF-CAFA6DD98592}">
  <ds:schemaRefs>
    <ds:schemaRef ds:uri="http://schemas.microsoft.com/sharepoint/v3/contenttype/forms"/>
  </ds:schemaRefs>
</ds:datastoreItem>
</file>

<file path=customXml/itemProps4.xml><?xml version="1.0" encoding="utf-8"?>
<ds:datastoreItem xmlns:ds="http://schemas.openxmlformats.org/officeDocument/2006/customXml" ds:itemID="{84F7D8AA-3D65-46E7-B430-2D58D67D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Accountant Grade 7/8</vt:lpstr>
    </vt:vector>
  </TitlesOfParts>
  <Company>Public Sector Commission</Company>
  <LinksUpToDate>false</LinksUpToDate>
  <CharactersWithSpaces>24717</CharactersWithSpaces>
  <SharedDoc>false</SharedDoc>
  <HLinks>
    <vt:vector size="12" baseType="variant">
      <vt:variant>
        <vt:i4>1048580</vt:i4>
      </vt:variant>
      <vt:variant>
        <vt:i4>0</vt:i4>
      </vt:variant>
      <vt:variant>
        <vt:i4>0</vt:i4>
      </vt:variant>
      <vt:variant>
        <vt:i4>5</vt:i4>
      </vt:variant>
      <vt:variant>
        <vt:lpwstr>https://www.psc.nsw.gov.au/workforce-management/capability-framework/the-capability-framework</vt:lpwstr>
      </vt:variant>
      <vt:variant>
        <vt:lpwstr/>
      </vt:variant>
      <vt:variant>
        <vt:i4>458818</vt:i4>
      </vt:variant>
      <vt:variant>
        <vt:i4>0</vt:i4>
      </vt:variant>
      <vt:variant>
        <vt:i4>0</vt:i4>
      </vt:variant>
      <vt:variant>
        <vt:i4>5</vt:i4>
      </vt:variant>
      <vt:variant>
        <vt:lpwstr>https://www.psc.nsw.gov.au/workforce-management/capability-framework/occupation-specific-capability-sets/finance-professionals-capability-set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Grade 7/8</dc:title>
  <dc:subject/>
  <dc:creator>Jennifer Christensen</dc:creator>
  <cp:keywords/>
  <cp:lastModifiedBy>Katrina Bouffler</cp:lastModifiedBy>
  <cp:revision>2</cp:revision>
  <cp:lastPrinted>2021-06-08T14:46:00Z</cp:lastPrinted>
  <dcterms:created xsi:type="dcterms:W3CDTF">2022-06-16T22:46:00Z</dcterms:created>
  <dcterms:modified xsi:type="dcterms:W3CDTF">2022-06-16T22:46:00Z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0x0101005C8FCCDB8AE8DC46AA92451A72C126C0</vt:lpwstr>
  </property>
</Properties>
</file>