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56DD19" w14:textId="77777777" w:rsidR="00D64474" w:rsidRPr="000C453F" w:rsidRDefault="00B35D7C" w:rsidP="00D64474">
      <w:pPr>
        <w:pStyle w:val="Heading1"/>
        <w:tabs>
          <w:tab w:val="left" w:pos="720"/>
          <w:tab w:val="left" w:pos="1440"/>
          <w:tab w:val="left" w:pos="2160"/>
          <w:tab w:val="left" w:pos="2880"/>
          <w:tab w:val="left" w:pos="3600"/>
          <w:tab w:val="right" w:pos="10348"/>
        </w:tabs>
      </w:pPr>
      <w:r>
        <w:rPr>
          <w:noProof/>
        </w:rPr>
        <w:drawing>
          <wp:anchor distT="0" distB="91440" distL="114300" distR="114300" simplePos="0" relativeHeight="251659264" behindDoc="0" locked="0" layoutInCell="1" allowOverlap="1" wp14:anchorId="73B36FB3" wp14:editId="762463D8">
            <wp:simplePos x="0" y="0"/>
            <wp:positionH relativeFrom="margin">
              <wp:posOffset>4340225</wp:posOffset>
            </wp:positionH>
            <wp:positionV relativeFrom="margin">
              <wp:posOffset>-288290</wp:posOffset>
            </wp:positionV>
            <wp:extent cx="2486025" cy="1139825"/>
            <wp:effectExtent l="0" t="0" r="0" b="0"/>
            <wp:wrapSquare wrapText="bothSides"/>
            <wp:docPr id="8897" name="Picture 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7" name="Picture 1">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86025" cy="113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4474" w:rsidRPr="000C453F">
        <w:t>Role Description</w:t>
      </w:r>
    </w:p>
    <w:p w14:paraId="2D6CFAF3" w14:textId="77777777" w:rsidR="00D64474" w:rsidRDefault="008B61FB" w:rsidP="00076EAB">
      <w:pPr>
        <w:pStyle w:val="Heading1"/>
        <w:tabs>
          <w:tab w:val="right" w:pos="10206"/>
        </w:tabs>
        <w:spacing w:after="120"/>
      </w:pPr>
      <w:r>
        <w:t>Visitor Services Officer</w:t>
      </w:r>
    </w:p>
    <w:p w14:paraId="48E40136"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C90657" w:rsidRPr="00C978B9" w14:paraId="7E77B1C3"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6E0F52A6" w14:textId="77777777" w:rsidR="00C90657" w:rsidRPr="00C90657" w:rsidRDefault="005C4C30" w:rsidP="003E0D69">
            <w:pPr>
              <w:pStyle w:val="TableTextWhite"/>
              <w:rPr>
                <w:b/>
              </w:rPr>
            </w:pPr>
            <w:r>
              <w:rPr>
                <w:b/>
              </w:rPr>
              <w:t>Role Description Fields</w:t>
            </w:r>
          </w:p>
        </w:tc>
        <w:tc>
          <w:tcPr>
            <w:tcW w:w="6530" w:type="dxa"/>
            <w:shd w:val="clear" w:color="auto" w:fill="000000" w:themeFill="text1"/>
          </w:tcPr>
          <w:p w14:paraId="5CE2A8EF" w14:textId="77777777" w:rsidR="00C90657" w:rsidRPr="00C90657" w:rsidRDefault="005C4C30" w:rsidP="003E0D69">
            <w:pPr>
              <w:pStyle w:val="TableTextWhite"/>
              <w:rPr>
                <w:b/>
              </w:rPr>
            </w:pPr>
            <w:r>
              <w:rPr>
                <w:b/>
              </w:rPr>
              <w:t>Details</w:t>
            </w:r>
          </w:p>
        </w:tc>
      </w:tr>
      <w:tr w:rsidR="00E00477" w:rsidRPr="00C978B9" w14:paraId="64A8863A" w14:textId="77777777" w:rsidTr="00310D9C">
        <w:trPr>
          <w:cantSplit/>
        </w:trPr>
        <w:tc>
          <w:tcPr>
            <w:tcW w:w="4026" w:type="dxa"/>
            <w:vAlign w:val="center"/>
          </w:tcPr>
          <w:p w14:paraId="50EB76FB" w14:textId="77777777" w:rsidR="00E00477" w:rsidRPr="00853F21" w:rsidRDefault="00E00477" w:rsidP="00E00477">
            <w:pPr>
              <w:pStyle w:val="TableTextWhite"/>
              <w:rPr>
                <w:b/>
              </w:rPr>
            </w:pPr>
            <w:r w:rsidRPr="00853F21">
              <w:rPr>
                <w:b/>
              </w:rPr>
              <w:t>Cluster</w:t>
            </w:r>
          </w:p>
        </w:tc>
        <w:tc>
          <w:tcPr>
            <w:tcW w:w="6530" w:type="dxa"/>
            <w:tcBorders>
              <w:top w:val="single" w:sz="8" w:space="0" w:color="000000"/>
              <w:left w:val="nil"/>
              <w:bottom w:val="single" w:sz="8" w:space="0" w:color="FFFFFF"/>
              <w:right w:val="nil"/>
            </w:tcBorders>
          </w:tcPr>
          <w:p w14:paraId="74405FCF" w14:textId="6900B24F" w:rsidR="00E00477" w:rsidRPr="00310D9C" w:rsidRDefault="00E00477" w:rsidP="00E00477">
            <w:pPr>
              <w:pStyle w:val="TableTextWhite"/>
              <w:rPr>
                <w:b/>
                <w:bCs/>
              </w:rPr>
            </w:pPr>
            <w:r w:rsidRPr="00310D9C">
              <w:rPr>
                <w:b/>
                <w:bCs/>
              </w:rPr>
              <w:t xml:space="preserve">Department of </w:t>
            </w:r>
            <w:proofErr w:type="gramStart"/>
            <w:r w:rsidRPr="00310D9C">
              <w:rPr>
                <w:b/>
                <w:bCs/>
              </w:rPr>
              <w:t xml:space="preserve">Planning </w:t>
            </w:r>
            <w:r w:rsidR="00245B8F">
              <w:rPr>
                <w:b/>
                <w:bCs/>
              </w:rPr>
              <w:t>,Housing</w:t>
            </w:r>
            <w:proofErr w:type="gramEnd"/>
            <w:r w:rsidR="00245B8F">
              <w:rPr>
                <w:b/>
                <w:bCs/>
              </w:rPr>
              <w:t xml:space="preserve"> and Infrastructure</w:t>
            </w:r>
          </w:p>
        </w:tc>
      </w:tr>
      <w:tr w:rsidR="00E00477" w:rsidRPr="00C978B9" w14:paraId="35D51B84" w14:textId="77777777" w:rsidTr="00310D9C">
        <w:trPr>
          <w:cantSplit/>
        </w:trPr>
        <w:tc>
          <w:tcPr>
            <w:tcW w:w="4026" w:type="dxa"/>
            <w:vAlign w:val="center"/>
          </w:tcPr>
          <w:p w14:paraId="30324CFE" w14:textId="77777777" w:rsidR="00E00477" w:rsidRPr="00853F21" w:rsidRDefault="00E00477" w:rsidP="00E00477">
            <w:pPr>
              <w:pStyle w:val="TableTextWhite"/>
              <w:rPr>
                <w:b/>
              </w:rPr>
            </w:pPr>
            <w:bookmarkStart w:id="0" w:name="DeptAgency"/>
            <w:bookmarkEnd w:id="0"/>
            <w:r w:rsidRPr="00853F21">
              <w:rPr>
                <w:b/>
              </w:rPr>
              <w:t>Department/Agency</w:t>
            </w:r>
          </w:p>
        </w:tc>
        <w:tc>
          <w:tcPr>
            <w:tcW w:w="6530" w:type="dxa"/>
            <w:tcBorders>
              <w:top w:val="single" w:sz="8" w:space="0" w:color="FFFFFF"/>
              <w:left w:val="nil"/>
              <w:bottom w:val="single" w:sz="8" w:space="0" w:color="FFFFFF"/>
              <w:right w:val="nil"/>
            </w:tcBorders>
          </w:tcPr>
          <w:p w14:paraId="14C071A9" w14:textId="21517ACF" w:rsidR="00E00477" w:rsidRPr="00310D9C" w:rsidRDefault="00245B8F" w:rsidP="00E00477">
            <w:pPr>
              <w:pStyle w:val="TableTextWhite"/>
              <w:rPr>
                <w:b/>
                <w:bCs/>
              </w:rPr>
            </w:pPr>
            <w:proofErr w:type="gramStart"/>
            <w:r w:rsidRPr="00310D9C">
              <w:rPr>
                <w:b/>
                <w:bCs/>
              </w:rPr>
              <w:t xml:space="preserve">Planning </w:t>
            </w:r>
            <w:r>
              <w:rPr>
                <w:b/>
                <w:bCs/>
              </w:rPr>
              <w:t>,Housing</w:t>
            </w:r>
            <w:proofErr w:type="gramEnd"/>
            <w:r>
              <w:rPr>
                <w:b/>
                <w:bCs/>
              </w:rPr>
              <w:t xml:space="preserve"> and Infrastructure</w:t>
            </w:r>
          </w:p>
        </w:tc>
      </w:tr>
      <w:tr w:rsidR="00E00477" w:rsidRPr="00C978B9" w14:paraId="0011CBA4" w14:textId="77777777" w:rsidTr="00310D9C">
        <w:trPr>
          <w:cantSplit/>
        </w:trPr>
        <w:tc>
          <w:tcPr>
            <w:tcW w:w="4026" w:type="dxa"/>
            <w:vAlign w:val="center"/>
          </w:tcPr>
          <w:p w14:paraId="4B8D567E" w14:textId="77777777" w:rsidR="00E00477" w:rsidRPr="00853F21" w:rsidRDefault="00E00477" w:rsidP="00E00477">
            <w:pPr>
              <w:pStyle w:val="TableTextWhite"/>
              <w:rPr>
                <w:b/>
              </w:rPr>
            </w:pPr>
            <w:r w:rsidRPr="00853F21">
              <w:rPr>
                <w:b/>
              </w:rPr>
              <w:t>Division/Branch/Unit</w:t>
            </w:r>
          </w:p>
        </w:tc>
        <w:tc>
          <w:tcPr>
            <w:tcW w:w="6530" w:type="dxa"/>
            <w:tcBorders>
              <w:top w:val="single" w:sz="8" w:space="0" w:color="FFFFFF"/>
              <w:left w:val="nil"/>
              <w:bottom w:val="single" w:sz="8" w:space="0" w:color="FFFFFF"/>
              <w:right w:val="nil"/>
            </w:tcBorders>
          </w:tcPr>
          <w:p w14:paraId="083BFAD1" w14:textId="23F8B7F2" w:rsidR="00E00477" w:rsidRPr="00310D9C" w:rsidRDefault="005F47F8" w:rsidP="00E00477">
            <w:pPr>
              <w:pStyle w:val="TableTextWhite"/>
              <w:rPr>
                <w:b/>
                <w:bCs/>
              </w:rPr>
            </w:pPr>
            <w:r>
              <w:rPr>
                <w:b/>
                <w:bCs/>
              </w:rPr>
              <w:t>Botanic Gardens of Sydney /</w:t>
            </w:r>
            <w:r w:rsidR="00E00477" w:rsidRPr="00310D9C">
              <w:rPr>
                <w:b/>
                <w:bCs/>
              </w:rPr>
              <w:t>Experiences Partnerships &amp; Engagement</w:t>
            </w:r>
          </w:p>
        </w:tc>
      </w:tr>
      <w:tr w:rsidR="00E00477" w:rsidRPr="00C978B9" w14:paraId="1EE6C66B" w14:textId="77777777" w:rsidTr="00103875">
        <w:trPr>
          <w:cantSplit/>
        </w:trPr>
        <w:tc>
          <w:tcPr>
            <w:tcW w:w="4026" w:type="dxa"/>
            <w:vAlign w:val="center"/>
          </w:tcPr>
          <w:p w14:paraId="45BE1065" w14:textId="77777777" w:rsidR="00E00477" w:rsidRPr="00853F21" w:rsidRDefault="00E00477" w:rsidP="00E00477">
            <w:pPr>
              <w:pStyle w:val="TableTextWhite"/>
              <w:rPr>
                <w:b/>
              </w:rPr>
            </w:pPr>
            <w:r w:rsidRPr="004A3696">
              <w:rPr>
                <w:b/>
              </w:rPr>
              <w:t>Role number</w:t>
            </w:r>
          </w:p>
        </w:tc>
        <w:tc>
          <w:tcPr>
            <w:tcW w:w="6530" w:type="dxa"/>
          </w:tcPr>
          <w:p w14:paraId="2787C6EA" w14:textId="77777777" w:rsidR="00E00477" w:rsidRPr="00310D9C" w:rsidRDefault="00E00477" w:rsidP="00E00477">
            <w:pPr>
              <w:pStyle w:val="TableTextWhite"/>
              <w:rPr>
                <w:b/>
                <w:bCs/>
              </w:rPr>
            </w:pPr>
            <w:r w:rsidRPr="00310D9C">
              <w:rPr>
                <w:b/>
                <w:bCs/>
              </w:rPr>
              <w:t>Generic</w:t>
            </w:r>
          </w:p>
        </w:tc>
      </w:tr>
      <w:tr w:rsidR="00E00477" w:rsidRPr="00C978B9" w14:paraId="059EEDF6" w14:textId="77777777" w:rsidTr="00103875">
        <w:trPr>
          <w:cantSplit/>
        </w:trPr>
        <w:tc>
          <w:tcPr>
            <w:tcW w:w="4026" w:type="dxa"/>
            <w:vAlign w:val="center"/>
          </w:tcPr>
          <w:p w14:paraId="1656AE52" w14:textId="77777777" w:rsidR="00E00477" w:rsidRPr="00853F21" w:rsidRDefault="00E00477" w:rsidP="00E00477">
            <w:pPr>
              <w:pStyle w:val="TableTextWhite"/>
              <w:rPr>
                <w:b/>
                <w:color w:val="000000"/>
              </w:rPr>
            </w:pPr>
            <w:r w:rsidRPr="00853F21">
              <w:rPr>
                <w:b/>
              </w:rPr>
              <w:t>Classification/Grade/Band</w:t>
            </w:r>
          </w:p>
        </w:tc>
        <w:tc>
          <w:tcPr>
            <w:tcW w:w="6530" w:type="dxa"/>
          </w:tcPr>
          <w:p w14:paraId="166A4327" w14:textId="77777777" w:rsidR="00E00477" w:rsidRPr="00310D9C" w:rsidRDefault="00E00477" w:rsidP="00E00477">
            <w:pPr>
              <w:pStyle w:val="TableTextWhite"/>
              <w:rPr>
                <w:b/>
                <w:bCs/>
              </w:rPr>
            </w:pPr>
            <w:r w:rsidRPr="00310D9C">
              <w:rPr>
                <w:b/>
                <w:bCs/>
              </w:rPr>
              <w:t>Clerk Grade 1/2</w:t>
            </w:r>
          </w:p>
        </w:tc>
      </w:tr>
      <w:tr w:rsidR="00E00477" w:rsidRPr="00C978B9" w14:paraId="257391AF" w14:textId="77777777" w:rsidTr="00103875">
        <w:trPr>
          <w:cantSplit/>
        </w:trPr>
        <w:tc>
          <w:tcPr>
            <w:tcW w:w="4026" w:type="dxa"/>
            <w:vAlign w:val="center"/>
          </w:tcPr>
          <w:p w14:paraId="2C3AC320" w14:textId="77777777" w:rsidR="00E00477" w:rsidRPr="00853F21" w:rsidRDefault="00E00477" w:rsidP="00E00477">
            <w:pPr>
              <w:pStyle w:val="TableTextWhite"/>
              <w:rPr>
                <w:b/>
                <w:color w:val="000000"/>
              </w:rPr>
            </w:pPr>
            <w:r w:rsidRPr="00853F21">
              <w:rPr>
                <w:b/>
              </w:rPr>
              <w:t>ANZSCO Code</w:t>
            </w:r>
          </w:p>
        </w:tc>
        <w:tc>
          <w:tcPr>
            <w:tcW w:w="6530" w:type="dxa"/>
          </w:tcPr>
          <w:p w14:paraId="655C6AA1" w14:textId="77777777" w:rsidR="00E00477" w:rsidRPr="00310D9C" w:rsidRDefault="00E00477" w:rsidP="00E00477">
            <w:pPr>
              <w:pStyle w:val="TableTextWhite"/>
              <w:rPr>
                <w:b/>
                <w:bCs/>
              </w:rPr>
            </w:pPr>
            <w:r w:rsidRPr="00310D9C">
              <w:rPr>
                <w:b/>
                <w:bCs/>
              </w:rPr>
              <w:t>541211</w:t>
            </w:r>
          </w:p>
        </w:tc>
      </w:tr>
      <w:tr w:rsidR="00E00477" w:rsidRPr="00C978B9" w14:paraId="5FC19307" w14:textId="77777777" w:rsidTr="00103875">
        <w:trPr>
          <w:cantSplit/>
        </w:trPr>
        <w:tc>
          <w:tcPr>
            <w:tcW w:w="4026" w:type="dxa"/>
            <w:vAlign w:val="center"/>
          </w:tcPr>
          <w:p w14:paraId="5DA8AF54" w14:textId="77777777" w:rsidR="00E00477" w:rsidRPr="00853F21" w:rsidRDefault="00E00477" w:rsidP="00E00477">
            <w:pPr>
              <w:pStyle w:val="TableTextWhite"/>
              <w:rPr>
                <w:b/>
                <w:color w:val="000000"/>
              </w:rPr>
            </w:pPr>
            <w:r w:rsidRPr="00853F21">
              <w:rPr>
                <w:b/>
              </w:rPr>
              <w:t>PCAT Code</w:t>
            </w:r>
          </w:p>
        </w:tc>
        <w:tc>
          <w:tcPr>
            <w:tcW w:w="6530" w:type="dxa"/>
          </w:tcPr>
          <w:p w14:paraId="2B5B11AB" w14:textId="77777777" w:rsidR="00E00477" w:rsidRPr="00310D9C" w:rsidRDefault="00E00477" w:rsidP="00E00477">
            <w:pPr>
              <w:pStyle w:val="TableTextWhite"/>
              <w:rPr>
                <w:b/>
                <w:bCs/>
              </w:rPr>
            </w:pPr>
            <w:r w:rsidRPr="00310D9C">
              <w:rPr>
                <w:b/>
                <w:bCs/>
              </w:rPr>
              <w:t>1119192</w:t>
            </w:r>
          </w:p>
        </w:tc>
      </w:tr>
      <w:tr w:rsidR="00E00477" w:rsidRPr="00C978B9" w14:paraId="36DC5878" w14:textId="77777777" w:rsidTr="00103875">
        <w:trPr>
          <w:cantSplit/>
        </w:trPr>
        <w:tc>
          <w:tcPr>
            <w:tcW w:w="4026" w:type="dxa"/>
            <w:vAlign w:val="center"/>
          </w:tcPr>
          <w:p w14:paraId="20325F71" w14:textId="77777777" w:rsidR="00E00477" w:rsidRPr="00853F21" w:rsidRDefault="00E00477" w:rsidP="00E00477">
            <w:pPr>
              <w:pStyle w:val="TableTextWhite"/>
              <w:rPr>
                <w:b/>
                <w:color w:val="000000"/>
              </w:rPr>
            </w:pPr>
            <w:r w:rsidRPr="00853F21">
              <w:rPr>
                <w:b/>
              </w:rPr>
              <w:t>Date of Approval</w:t>
            </w:r>
          </w:p>
        </w:tc>
        <w:tc>
          <w:tcPr>
            <w:tcW w:w="6530" w:type="dxa"/>
          </w:tcPr>
          <w:p w14:paraId="47843B1B" w14:textId="5FB208D7" w:rsidR="00E00477" w:rsidRPr="00310D9C" w:rsidRDefault="00245B8F" w:rsidP="00E00477">
            <w:pPr>
              <w:pStyle w:val="TableTextWhite"/>
              <w:rPr>
                <w:b/>
                <w:bCs/>
              </w:rPr>
            </w:pPr>
            <w:r>
              <w:rPr>
                <w:b/>
                <w:bCs/>
              </w:rPr>
              <w:t>October 2024</w:t>
            </w:r>
            <w:r w:rsidR="00310D9C" w:rsidRPr="00310D9C">
              <w:rPr>
                <w:b/>
                <w:bCs/>
              </w:rPr>
              <w:t xml:space="preserve"> (updated from </w:t>
            </w:r>
            <w:r w:rsidR="00E00477" w:rsidRPr="00310D9C">
              <w:rPr>
                <w:b/>
                <w:bCs/>
              </w:rPr>
              <w:t>29 June 2022</w:t>
            </w:r>
            <w:r>
              <w:rPr>
                <w:b/>
                <w:bCs/>
              </w:rPr>
              <w:t>;</w:t>
            </w:r>
            <w:r w:rsidR="00644753">
              <w:rPr>
                <w:b/>
                <w:bCs/>
              </w:rPr>
              <w:t xml:space="preserve"> </w:t>
            </w:r>
            <w:r>
              <w:rPr>
                <w:b/>
                <w:bCs/>
              </w:rPr>
              <w:t>August 2023</w:t>
            </w:r>
            <w:r w:rsidR="00310D9C" w:rsidRPr="00310D9C">
              <w:rPr>
                <w:b/>
                <w:bCs/>
              </w:rPr>
              <w:t>)</w:t>
            </w:r>
          </w:p>
        </w:tc>
      </w:tr>
      <w:tr w:rsidR="00E00477" w:rsidRPr="00C978B9" w14:paraId="3FA28D2F" w14:textId="77777777" w:rsidTr="00103875">
        <w:trPr>
          <w:cantSplit/>
        </w:trPr>
        <w:tc>
          <w:tcPr>
            <w:tcW w:w="4026" w:type="dxa"/>
            <w:vAlign w:val="center"/>
          </w:tcPr>
          <w:p w14:paraId="3E3ACF62" w14:textId="77777777" w:rsidR="00E00477" w:rsidRPr="00853F21" w:rsidRDefault="00E00477" w:rsidP="00E00477">
            <w:pPr>
              <w:pStyle w:val="TableTextWhite"/>
              <w:rPr>
                <w:b/>
              </w:rPr>
            </w:pPr>
            <w:r w:rsidRPr="004A3696">
              <w:rPr>
                <w:b/>
              </w:rPr>
              <w:t>Agency Website</w:t>
            </w:r>
          </w:p>
        </w:tc>
        <w:tc>
          <w:tcPr>
            <w:tcW w:w="6530" w:type="dxa"/>
          </w:tcPr>
          <w:p w14:paraId="7132A9A2" w14:textId="720AE559" w:rsidR="00E00477" w:rsidRPr="00310D9C" w:rsidRDefault="00E00477" w:rsidP="00E00477">
            <w:pPr>
              <w:pStyle w:val="TableTextWhite"/>
              <w:rPr>
                <w:b/>
                <w:bCs/>
              </w:rPr>
            </w:pPr>
            <w:r w:rsidRPr="00310D9C">
              <w:rPr>
                <w:b/>
                <w:bCs/>
              </w:rPr>
              <w:t>www.botanicgardens.org.au</w:t>
            </w:r>
          </w:p>
        </w:tc>
      </w:tr>
    </w:tbl>
    <w:p w14:paraId="5A0F1C1D" w14:textId="77777777" w:rsidR="00057CB3" w:rsidRPr="00C978B9" w:rsidRDefault="004A3696" w:rsidP="00FB27B0">
      <w:pPr>
        <w:pStyle w:val="Heading2"/>
      </w:pPr>
      <w:r w:rsidRPr="004A3696">
        <w:t>Agency overview</w:t>
      </w:r>
    </w:p>
    <w:p w14:paraId="29F65749" w14:textId="77777777" w:rsidR="00E00477" w:rsidRDefault="00E00477" w:rsidP="00310D9C">
      <w:pPr>
        <w:pStyle w:val="Heading1"/>
        <w:spacing w:after="0"/>
        <w:rPr>
          <w:rFonts w:eastAsia="Times New Roman"/>
          <w:b w:val="0"/>
          <w:sz w:val="22"/>
        </w:rPr>
      </w:pPr>
      <w:bookmarkStart w:id="1" w:name="_Hlk30003721"/>
      <w:r>
        <w:rPr>
          <w:rFonts w:eastAsia="Times New Roman"/>
          <w:b w:val="0"/>
          <w:sz w:val="22"/>
        </w:rPr>
        <w:t>Botanic Gardens of Sydney is the organisation working on behalf of the Royal Botanic Gardens and Domain Trust, which is established under the Royal Botanic Gardens and Domain Trust Act 1980.</w:t>
      </w:r>
    </w:p>
    <w:p w14:paraId="6A7F4F41" w14:textId="77777777" w:rsidR="00E00477" w:rsidRDefault="00E00477" w:rsidP="00310D9C">
      <w:pPr>
        <w:pStyle w:val="Heading1"/>
        <w:spacing w:after="0"/>
        <w:rPr>
          <w:rFonts w:eastAsia="Times New Roman"/>
          <w:b w:val="0"/>
          <w:bCs w:val="0"/>
          <w:sz w:val="22"/>
        </w:rPr>
      </w:pPr>
    </w:p>
    <w:p w14:paraId="3110523F" w14:textId="77777777" w:rsidR="00E00477" w:rsidRDefault="00E00477" w:rsidP="00310D9C">
      <w:pPr>
        <w:pStyle w:val="Heading1"/>
        <w:spacing w:after="0"/>
        <w:rPr>
          <w:rFonts w:eastAsia="Times New Roman"/>
          <w:b w:val="0"/>
          <w:bCs w:val="0"/>
          <w:sz w:val="22"/>
        </w:rPr>
      </w:pPr>
      <w:r>
        <w:rPr>
          <w:rFonts w:eastAsia="Times New Roman"/>
          <w:b w:val="0"/>
          <w:sz w:val="22"/>
        </w:rPr>
        <w:t>The organisation encompasses Australia’s premier botanical research institute, Sydney’s leading outdoor live entertainment and activation precinct, and three world-leading botanic gardens and international tourism destinations.</w:t>
      </w:r>
    </w:p>
    <w:p w14:paraId="5A30085C" w14:textId="77777777" w:rsidR="00E00477" w:rsidRDefault="00E00477" w:rsidP="00310D9C">
      <w:pPr>
        <w:pStyle w:val="Heading1"/>
        <w:spacing w:after="0"/>
        <w:rPr>
          <w:rFonts w:eastAsia="Times New Roman"/>
          <w:b w:val="0"/>
          <w:bCs w:val="0"/>
          <w:sz w:val="22"/>
        </w:rPr>
      </w:pPr>
    </w:p>
    <w:p w14:paraId="7FBDAA94" w14:textId="77777777" w:rsidR="00E00477" w:rsidRDefault="00E00477" w:rsidP="00310D9C">
      <w:pPr>
        <w:pStyle w:val="Heading1"/>
        <w:spacing w:after="0"/>
        <w:rPr>
          <w:rFonts w:eastAsia="Times New Roman"/>
          <w:b w:val="0"/>
          <w:bCs w:val="0"/>
          <w:sz w:val="22"/>
        </w:rPr>
      </w:pPr>
      <w:r>
        <w:rPr>
          <w:rFonts w:eastAsia="Times New Roman"/>
          <w:b w:val="0"/>
          <w:sz w:val="22"/>
        </w:rPr>
        <w:t>As Australia’s oldest scientific institution, Botanic Gardens of Sydney are custodians of more than $1.2 billion in state significant cultural, heritage and botanical collections.  The Gardens are a leading entity within the NSW tourism sector with a focus on engaging international, national, and regional visitors.</w:t>
      </w:r>
    </w:p>
    <w:p w14:paraId="2A45E4F5" w14:textId="77777777" w:rsidR="00E00477" w:rsidRDefault="00E00477" w:rsidP="00310D9C">
      <w:pPr>
        <w:spacing w:after="0"/>
      </w:pPr>
    </w:p>
    <w:p w14:paraId="566D41C7" w14:textId="77777777" w:rsidR="00E00477" w:rsidRDefault="00E00477" w:rsidP="00E00477">
      <w:pPr>
        <w:pStyle w:val="Heading1"/>
        <w:spacing w:after="60"/>
        <w:rPr>
          <w:rFonts w:eastAsia="Times New Roman"/>
          <w:sz w:val="22"/>
        </w:rPr>
      </w:pPr>
      <w:r>
        <w:rPr>
          <w:rFonts w:eastAsia="Times New Roman"/>
          <w:sz w:val="22"/>
        </w:rPr>
        <w:t>Our key pillars:</w:t>
      </w:r>
    </w:p>
    <w:p w14:paraId="388140AA" w14:textId="77777777" w:rsidR="00E00477" w:rsidRPr="00F05736" w:rsidRDefault="00E00477" w:rsidP="00976CCC">
      <w:pPr>
        <w:pStyle w:val="ListParagraph"/>
        <w:numPr>
          <w:ilvl w:val="0"/>
          <w:numId w:val="15"/>
        </w:numPr>
        <w:spacing w:after="22" w:line="269" w:lineRule="auto"/>
        <w:jc w:val="both"/>
        <w:rPr>
          <w:b/>
        </w:rPr>
      </w:pPr>
      <w:r w:rsidRPr="00F05736">
        <w:rPr>
          <w:b/>
        </w:rPr>
        <w:t>Australian Institute of Botanical Science:</w:t>
      </w:r>
      <w:r>
        <w:t xml:space="preserve"> Australia’s premier botanical research institute encompassing the education, science, conservation and collections of the Botanic Gardens.</w:t>
      </w:r>
    </w:p>
    <w:p w14:paraId="519A9DA3" w14:textId="77777777" w:rsidR="00E00477" w:rsidRPr="00F05736" w:rsidRDefault="00E00477" w:rsidP="00976CCC">
      <w:pPr>
        <w:pStyle w:val="ListParagraph"/>
        <w:numPr>
          <w:ilvl w:val="0"/>
          <w:numId w:val="15"/>
        </w:numPr>
        <w:spacing w:after="22" w:line="269" w:lineRule="auto"/>
        <w:jc w:val="both"/>
        <w:rPr>
          <w:b/>
        </w:rPr>
      </w:pPr>
      <w:r w:rsidRPr="00F05736">
        <w:rPr>
          <w:b/>
        </w:rPr>
        <w:t>The Domain:</w:t>
      </w:r>
      <w:r>
        <w:t xml:space="preserve"> Sydney’s leading outdoor live entertainment and activation precinct</w:t>
      </w:r>
    </w:p>
    <w:p w14:paraId="339E54ED" w14:textId="77777777" w:rsidR="00E00477" w:rsidRPr="00F05736" w:rsidRDefault="00E00477" w:rsidP="00976CCC">
      <w:pPr>
        <w:pStyle w:val="ListParagraph"/>
        <w:numPr>
          <w:ilvl w:val="0"/>
          <w:numId w:val="15"/>
        </w:numPr>
        <w:spacing w:after="22" w:line="269" w:lineRule="auto"/>
        <w:jc w:val="both"/>
        <w:rPr>
          <w:b/>
        </w:rPr>
      </w:pPr>
      <w:r w:rsidRPr="00F05736">
        <w:rPr>
          <w:b/>
        </w:rPr>
        <w:t>Royal Botanic Garden Sydney:</w:t>
      </w:r>
      <w:r>
        <w:t xml:space="preserve"> One of Australia’s most-visited international tourist attractions and Australia’s oldest scientific institution.</w:t>
      </w:r>
    </w:p>
    <w:p w14:paraId="5C2CD25A" w14:textId="77777777" w:rsidR="00E00477" w:rsidRPr="00F05736" w:rsidRDefault="00E00477" w:rsidP="00976CCC">
      <w:pPr>
        <w:pStyle w:val="ListParagraph"/>
        <w:numPr>
          <w:ilvl w:val="0"/>
          <w:numId w:val="15"/>
        </w:numPr>
        <w:spacing w:after="22" w:line="269" w:lineRule="auto"/>
        <w:jc w:val="both"/>
        <w:rPr>
          <w:b/>
        </w:rPr>
      </w:pPr>
      <w:r w:rsidRPr="00F05736">
        <w:rPr>
          <w:b/>
        </w:rPr>
        <w:t>Australian Botanic Garden Mount Annan:</w:t>
      </w:r>
      <w:r>
        <w:t xml:space="preserve"> The emerging flagship campus of the Australian Institute of Botanical Science – home of the National Herbarium of New South Wales and the Australian </w:t>
      </w:r>
      <w:proofErr w:type="spellStart"/>
      <w:r>
        <w:t>PlantBank</w:t>
      </w:r>
      <w:proofErr w:type="spellEnd"/>
    </w:p>
    <w:p w14:paraId="3E8EA0C2" w14:textId="77777777" w:rsidR="00E00477" w:rsidRPr="00F05736" w:rsidRDefault="00E00477" w:rsidP="00976CCC">
      <w:pPr>
        <w:pStyle w:val="ListParagraph"/>
        <w:numPr>
          <w:ilvl w:val="0"/>
          <w:numId w:val="15"/>
        </w:numPr>
        <w:spacing w:after="22" w:line="269" w:lineRule="auto"/>
        <w:jc w:val="both"/>
        <w:rPr>
          <w:b/>
        </w:rPr>
      </w:pPr>
      <w:r w:rsidRPr="00F05736">
        <w:rPr>
          <w:b/>
        </w:rPr>
        <w:t>Blue Mountains Botanic Garden Mount Tomah:</w:t>
      </w:r>
      <w:r>
        <w:t xml:space="preserve"> Australia’s highest cool-climate Botanic Garden within a World Heritage Area</w:t>
      </w:r>
    </w:p>
    <w:p w14:paraId="41C4DE3A" w14:textId="77777777" w:rsidR="004A3696" w:rsidRPr="00C978B9" w:rsidRDefault="004A3696" w:rsidP="004A3696">
      <w:pPr>
        <w:pStyle w:val="Heading2"/>
      </w:pPr>
      <w:r w:rsidRPr="00C978B9">
        <w:lastRenderedPageBreak/>
        <w:t>Primary purpose of t</w:t>
      </w:r>
      <w:r>
        <w:t>h</w:t>
      </w:r>
      <w:r w:rsidRPr="00C978B9">
        <w:t>e role</w:t>
      </w:r>
    </w:p>
    <w:p w14:paraId="388E1C4E" w14:textId="34E42946" w:rsidR="004A3696" w:rsidRPr="00A55204" w:rsidRDefault="004A3696" w:rsidP="00FB27B0">
      <w:pPr>
        <w:rPr>
          <w:bCs/>
          <w:lang w:eastAsia="en-AU"/>
        </w:rPr>
      </w:pPr>
      <w:r>
        <w:t>Promote a positive image of the Gardens and return visitation by being professional and customer focused, whilst providing visitor information, site reception services, event management assistance, processing enquiries bookings, data collection and reconciliation of fees and retail sales, and promoting all activities the Gardens has to offer to assist the Events Venues team in reaching visitation, sales and venue hire targets.</w:t>
      </w:r>
      <w:r>
        <w:br/>
        <w:t>Assist in the delivery of high-quality customer service, ensuring effective and efficient methodology, quality standards, procedures and documentation to satisfy customer requirements and promote a positive image of Botanic Gardens.</w:t>
      </w:r>
    </w:p>
    <w:bookmarkEnd w:id="1"/>
    <w:p w14:paraId="3EE0AFE2" w14:textId="77777777" w:rsidR="00057CB3" w:rsidRPr="00980BCA" w:rsidRDefault="00057CB3" w:rsidP="000C453F">
      <w:pPr>
        <w:pStyle w:val="Heading2"/>
      </w:pPr>
      <w:r w:rsidRPr="00980BCA">
        <w:t xml:space="preserve">Key </w:t>
      </w:r>
      <w:r w:rsidR="00043B92" w:rsidRPr="00980BCA">
        <w:t>a</w:t>
      </w:r>
      <w:r w:rsidRPr="00980BCA">
        <w:t>ccountabilities</w:t>
      </w:r>
    </w:p>
    <w:p w14:paraId="4CC838E2" w14:textId="77777777" w:rsidR="001C1B21" w:rsidRDefault="00451042" w:rsidP="00641CB8">
      <w:pPr>
        <w:pStyle w:val="ListBullet"/>
        <w:rPr>
          <w:lang w:eastAsia="en-AU"/>
        </w:rPr>
      </w:pPr>
      <w:r>
        <w:t>Provide assistance to clients and visitors, including attending to enquiries in person, over the counter, on phone and social media, to capitalise on opportunities that enhance visitor experience and knowledge of Botanic Gardens products and services.</w:t>
      </w:r>
    </w:p>
    <w:p w14:paraId="383B1064" w14:textId="77777777" w:rsidR="001C1B21" w:rsidRDefault="00451042" w:rsidP="00641CB8">
      <w:pPr>
        <w:pStyle w:val="ListBullet"/>
        <w:rPr>
          <w:lang w:eastAsia="en-AU"/>
        </w:rPr>
      </w:pPr>
      <w:r>
        <w:t>Undertake sales of merchandise, Venue Hire and tickets including the receipting of money collected, in accordance with policies and procedures.</w:t>
      </w:r>
    </w:p>
    <w:p w14:paraId="4CF0A172" w14:textId="77777777" w:rsidR="001C1B21" w:rsidRDefault="00451042" w:rsidP="00641CB8">
      <w:pPr>
        <w:pStyle w:val="ListBullet"/>
        <w:rPr>
          <w:lang w:eastAsia="en-AU"/>
        </w:rPr>
      </w:pPr>
      <w:r>
        <w:t>Operate communication systems, including online booking, radio base station, telephone switchboard, and telephone directories, to ensure effective communication across the venue or site.</w:t>
      </w:r>
    </w:p>
    <w:p w14:paraId="466E7971" w14:textId="77777777" w:rsidR="001C1B21" w:rsidRDefault="00451042" w:rsidP="00641CB8">
      <w:pPr>
        <w:pStyle w:val="ListBullet"/>
        <w:rPr>
          <w:lang w:eastAsia="en-AU"/>
        </w:rPr>
      </w:pPr>
      <w:r>
        <w:t>Participate in the development, implementation, and ongoing review of procedures and protocols to provide an improved service.</w:t>
      </w:r>
    </w:p>
    <w:p w14:paraId="1735B487" w14:textId="77777777" w:rsidR="001C1B21" w:rsidRDefault="00451042" w:rsidP="00641CB8">
      <w:pPr>
        <w:pStyle w:val="ListBullet"/>
        <w:rPr>
          <w:lang w:eastAsia="en-AU"/>
        </w:rPr>
      </w:pPr>
      <w:r>
        <w:t>Provide timely and efficient administrative support to the manager as directed, including the provision of accurate visitor attendance records; sales and financial analysis for reports; responses to visitor services enquiries; data collection and analysis; administrative and operational support and general records management to inform decision making for all Trust sites.</w:t>
      </w:r>
    </w:p>
    <w:p w14:paraId="025B55AB" w14:textId="77777777" w:rsidR="001C1B21" w:rsidRDefault="00451042" w:rsidP="00641CB8">
      <w:pPr>
        <w:pStyle w:val="ListBullet"/>
        <w:rPr>
          <w:lang w:eastAsia="en-AU"/>
        </w:rPr>
      </w:pPr>
      <w:r>
        <w:t>Manage low scale/impact events on site at the Calyx.</w:t>
      </w:r>
    </w:p>
    <w:p w14:paraId="04F2448F" w14:textId="77777777" w:rsidR="001C1B21" w:rsidRDefault="00451042" w:rsidP="00641CB8">
      <w:pPr>
        <w:pStyle w:val="ListBullet"/>
        <w:rPr>
          <w:lang w:eastAsia="en-AU"/>
        </w:rPr>
      </w:pPr>
      <w:r>
        <w:t>Undertake related duties, including venue site visits with potential Hirers, general area presentation, security of reception areas and the visitor centres, receipt and dispatch of mail and deliveries, administering visitor permits and security passes, in accordance with policies and procedures.</w:t>
      </w:r>
    </w:p>
    <w:p w14:paraId="5D3CE7B5" w14:textId="77777777" w:rsidR="001C1B21" w:rsidRDefault="00451042" w:rsidP="00641CB8">
      <w:pPr>
        <w:pStyle w:val="ListBullet"/>
        <w:rPr>
          <w:lang w:eastAsia="en-AU"/>
        </w:rPr>
      </w:pPr>
      <w:r>
        <w:t>Support implementation and follow workplace safety initiatives, identify hazards and contribute to a safe working environment, as well as following procedures to manage and minimise risks across the Botanic Gardens.</w:t>
      </w:r>
    </w:p>
    <w:p w14:paraId="0491FFB6"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700BA20F" w14:textId="77777777" w:rsidR="001C1B21" w:rsidRDefault="00451042" w:rsidP="00641CB8">
      <w:pPr>
        <w:pStyle w:val="ListBullet"/>
        <w:rPr>
          <w:lang w:eastAsia="en-AU"/>
        </w:rPr>
      </w:pPr>
      <w:r>
        <w:t>Satisfying visitor needs and dealing with customer issues and complaints that may arise on a day-today basis given that there may be limited supervision in the role and a high volume of enquiries and visitors.</w:t>
      </w:r>
    </w:p>
    <w:p w14:paraId="09551B74" w14:textId="77777777" w:rsidR="001C1B21" w:rsidRDefault="00451042" w:rsidP="00641CB8">
      <w:pPr>
        <w:pStyle w:val="ListBullet"/>
        <w:rPr>
          <w:lang w:eastAsia="en-AU"/>
        </w:rPr>
      </w:pPr>
      <w:r>
        <w:t>Maintaining an up to date knowledge of staff and functions as well as knowledge of the activities, facilities and services offered by the Botanic Gardens to effectively deal with enquiries.</w:t>
      </w:r>
    </w:p>
    <w:p w14:paraId="210AEA50" w14:textId="77777777" w:rsidR="00057CB3" w:rsidRDefault="00043B92" w:rsidP="000C453F">
      <w:pPr>
        <w:pStyle w:val="Heading2"/>
      </w:pPr>
      <w:r>
        <w:t>Key r</w:t>
      </w:r>
      <w:r w:rsidR="00057CB3" w:rsidRPr="00C978B9">
        <w:t>elationships</w:t>
      </w:r>
    </w:p>
    <w:p w14:paraId="3ACBC93E"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26B475BC"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36F4229F" w14:textId="77777777" w:rsidR="00057CB3" w:rsidRPr="00C978B9" w:rsidRDefault="00057CB3" w:rsidP="00803E47">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4EE0F219" w14:textId="77777777" w:rsidR="00057CB3" w:rsidRPr="00C978B9" w:rsidRDefault="00057CB3" w:rsidP="00803E47">
            <w:pPr>
              <w:pStyle w:val="TableTextWhite0"/>
            </w:pPr>
            <w:r w:rsidRPr="00C978B9">
              <w:t>Why</w:t>
            </w:r>
          </w:p>
        </w:tc>
      </w:tr>
      <w:tr w:rsidR="0002436B" w:rsidRPr="00C978B9" w14:paraId="52090699" w14:textId="77777777" w:rsidTr="00103875">
        <w:trPr>
          <w:cantSplit/>
        </w:trPr>
        <w:tc>
          <w:tcPr>
            <w:tcW w:w="3601" w:type="dxa"/>
          </w:tcPr>
          <w:p w14:paraId="7415802A" w14:textId="77777777" w:rsidR="0002436B" w:rsidRPr="00A15CDB" w:rsidRDefault="00596C1A" w:rsidP="00A15CDB">
            <w:pPr>
              <w:pStyle w:val="TableText"/>
            </w:pPr>
            <w:bookmarkStart w:id="2" w:name="InternalRelationships"/>
            <w:r>
              <w:t>Manager</w:t>
            </w:r>
          </w:p>
        </w:tc>
        <w:tc>
          <w:tcPr>
            <w:tcW w:w="6946" w:type="dxa"/>
          </w:tcPr>
          <w:p w14:paraId="77E2C769" w14:textId="77777777" w:rsidR="001C1B21" w:rsidRPr="00310D9C" w:rsidRDefault="00451042" w:rsidP="00641CB8">
            <w:pPr>
              <w:pStyle w:val="ListBullet"/>
              <w:rPr>
                <w:sz w:val="20"/>
                <w:lang w:eastAsia="en-AU"/>
              </w:rPr>
            </w:pPr>
            <w:r w:rsidRPr="00310D9C">
              <w:rPr>
                <w:sz w:val="20"/>
              </w:rPr>
              <w:t>Escalate issues, keep informed, advise and receive instructions.</w:t>
            </w:r>
          </w:p>
        </w:tc>
      </w:tr>
      <w:tr w:rsidR="0002436B" w:rsidRPr="00C978B9" w14:paraId="05BE3035" w14:textId="77777777" w:rsidTr="00103875">
        <w:trPr>
          <w:cantSplit/>
        </w:trPr>
        <w:tc>
          <w:tcPr>
            <w:tcW w:w="3601" w:type="dxa"/>
          </w:tcPr>
          <w:p w14:paraId="3F4EF45F" w14:textId="38C1CDE1" w:rsidR="0002436B" w:rsidRPr="00A15CDB" w:rsidRDefault="00596C1A" w:rsidP="00A15CDB">
            <w:pPr>
              <w:pStyle w:val="TableText"/>
            </w:pPr>
            <w:r>
              <w:t>Key staff</w:t>
            </w:r>
          </w:p>
        </w:tc>
        <w:tc>
          <w:tcPr>
            <w:tcW w:w="6946" w:type="dxa"/>
          </w:tcPr>
          <w:p w14:paraId="5301C3B7" w14:textId="33E71C18" w:rsidR="001C1B21" w:rsidRPr="00310D9C" w:rsidRDefault="00451042" w:rsidP="00641CB8">
            <w:pPr>
              <w:pStyle w:val="ListBullet"/>
              <w:rPr>
                <w:sz w:val="20"/>
                <w:lang w:eastAsia="en-AU"/>
              </w:rPr>
            </w:pPr>
            <w:r w:rsidRPr="00310D9C">
              <w:rPr>
                <w:sz w:val="20"/>
              </w:rPr>
              <w:t>Respond to requests and provide advice and information</w:t>
            </w:r>
            <w:r w:rsidR="00310D9C">
              <w:rPr>
                <w:sz w:val="20"/>
              </w:rPr>
              <w:t>.</w:t>
            </w:r>
          </w:p>
        </w:tc>
      </w:tr>
    </w:tbl>
    <w:bookmarkEnd w:id="2"/>
    <w:p w14:paraId="6C4C03DE"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57ED1D80"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3B3D58B4" w14:textId="77777777" w:rsidR="00C34914" w:rsidRPr="00C978B9" w:rsidRDefault="00C34914" w:rsidP="003E0D69">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3B80D160" w14:textId="77777777" w:rsidR="00C34914" w:rsidRPr="00C978B9" w:rsidRDefault="00C34914" w:rsidP="003E0D69">
            <w:pPr>
              <w:pStyle w:val="TableTextWhite0"/>
            </w:pPr>
            <w:r w:rsidRPr="00C978B9">
              <w:t>Why</w:t>
            </w:r>
          </w:p>
        </w:tc>
      </w:tr>
      <w:tr w:rsidR="00C34914" w:rsidRPr="00310D9C" w14:paraId="56B2DD07" w14:textId="77777777" w:rsidTr="00103875">
        <w:trPr>
          <w:cantSplit/>
        </w:trPr>
        <w:tc>
          <w:tcPr>
            <w:tcW w:w="3601" w:type="dxa"/>
          </w:tcPr>
          <w:p w14:paraId="3E91983C" w14:textId="77777777" w:rsidR="00C34914" w:rsidRPr="00DA65BD" w:rsidRDefault="00596C1A" w:rsidP="003E0D69">
            <w:pPr>
              <w:pStyle w:val="TableText"/>
            </w:pPr>
            <w:bookmarkStart w:id="3" w:name="ExternalRelationships"/>
            <w:r>
              <w:t>Customers and clients</w:t>
            </w:r>
          </w:p>
        </w:tc>
        <w:tc>
          <w:tcPr>
            <w:tcW w:w="6946" w:type="dxa"/>
          </w:tcPr>
          <w:p w14:paraId="7289FC60" w14:textId="77777777" w:rsidR="001C1B21" w:rsidRPr="00310D9C" w:rsidRDefault="00451042" w:rsidP="00641CB8">
            <w:pPr>
              <w:pStyle w:val="ListBullet"/>
              <w:rPr>
                <w:sz w:val="20"/>
                <w:lang w:eastAsia="en-AU"/>
              </w:rPr>
            </w:pPr>
            <w:r w:rsidRPr="00310D9C">
              <w:rPr>
                <w:sz w:val="20"/>
              </w:rPr>
              <w:t>Respond to requests, conduct transactions.</w:t>
            </w:r>
          </w:p>
          <w:p w14:paraId="32A3F320" w14:textId="77777777" w:rsidR="001C1B21" w:rsidRPr="00310D9C" w:rsidRDefault="00451042" w:rsidP="00641CB8">
            <w:pPr>
              <w:pStyle w:val="ListBullet"/>
              <w:rPr>
                <w:sz w:val="20"/>
                <w:lang w:eastAsia="en-AU"/>
              </w:rPr>
            </w:pPr>
            <w:r w:rsidRPr="00310D9C">
              <w:rPr>
                <w:sz w:val="20"/>
              </w:rPr>
              <w:t>Provide information about services, facilities, activities and events.</w:t>
            </w:r>
          </w:p>
        </w:tc>
      </w:tr>
      <w:tr w:rsidR="00C34914" w:rsidRPr="00C978B9" w14:paraId="23154828" w14:textId="77777777" w:rsidTr="00103875">
        <w:trPr>
          <w:cantSplit/>
        </w:trPr>
        <w:tc>
          <w:tcPr>
            <w:tcW w:w="3601" w:type="dxa"/>
          </w:tcPr>
          <w:p w14:paraId="26D63D8C" w14:textId="77777777" w:rsidR="00C34914" w:rsidRPr="00DA65BD" w:rsidRDefault="00596C1A" w:rsidP="003E0D69">
            <w:pPr>
              <w:pStyle w:val="TableText"/>
            </w:pPr>
            <w:r>
              <w:lastRenderedPageBreak/>
              <w:t>Venue Licensee</w:t>
            </w:r>
          </w:p>
        </w:tc>
        <w:tc>
          <w:tcPr>
            <w:tcW w:w="6946" w:type="dxa"/>
          </w:tcPr>
          <w:p w14:paraId="0403DBD6" w14:textId="114703EB" w:rsidR="001C1B21" w:rsidRPr="00310D9C" w:rsidRDefault="00451042" w:rsidP="00641CB8">
            <w:pPr>
              <w:pStyle w:val="ListBullet"/>
              <w:rPr>
                <w:sz w:val="20"/>
                <w:lang w:eastAsia="en-AU"/>
              </w:rPr>
            </w:pPr>
            <w:r w:rsidRPr="00310D9C">
              <w:rPr>
                <w:sz w:val="20"/>
              </w:rPr>
              <w:t>Contribute to a client-focused approach to service delivery</w:t>
            </w:r>
            <w:r w:rsidR="00310D9C">
              <w:rPr>
                <w:sz w:val="20"/>
              </w:rPr>
              <w:t>.</w:t>
            </w:r>
          </w:p>
        </w:tc>
      </w:tr>
    </w:tbl>
    <w:bookmarkEnd w:id="3"/>
    <w:p w14:paraId="027DEED7" w14:textId="77777777" w:rsidR="00057CB3" w:rsidRPr="00C978B9" w:rsidRDefault="0002436B" w:rsidP="000C453F">
      <w:pPr>
        <w:pStyle w:val="Heading2"/>
      </w:pPr>
      <w:r w:rsidRPr="00C978B9">
        <w:t xml:space="preserve">Role </w:t>
      </w:r>
      <w:r w:rsidR="00043B92">
        <w:t>d</w:t>
      </w:r>
      <w:r w:rsidRPr="00C978B9">
        <w:t>imensions</w:t>
      </w:r>
    </w:p>
    <w:p w14:paraId="34406C72" w14:textId="77777777" w:rsidR="0002436B" w:rsidRDefault="001D133A" w:rsidP="000C453F">
      <w:pPr>
        <w:pStyle w:val="Heading3"/>
      </w:pPr>
      <w:r w:rsidRPr="00C978B9">
        <w:t>Decision making</w:t>
      </w:r>
    </w:p>
    <w:p w14:paraId="268D300D" w14:textId="77777777" w:rsidR="00BD7587" w:rsidRPr="007523A5" w:rsidRDefault="00A55204" w:rsidP="00BD7587">
      <w:pPr>
        <w:rPr>
          <w:rFonts w:cs="Arial"/>
          <w:szCs w:val="22"/>
        </w:rPr>
      </w:pPr>
      <w:bookmarkStart w:id="4" w:name="_Hlk17372642"/>
      <w:r>
        <w:t>This role often works alone without direct supervision and is required to show initiative and solve problems in order to satisfy visitor needs and deal with problems/complaints on a day-to-day basis.  The role will refer difficult or complex issues to the manager where it is appropriate.</w:t>
      </w:r>
    </w:p>
    <w:bookmarkEnd w:id="4"/>
    <w:p w14:paraId="11793D04" w14:textId="77777777" w:rsidR="001D133A" w:rsidRDefault="001D133A" w:rsidP="000C453F">
      <w:pPr>
        <w:pStyle w:val="Heading3"/>
      </w:pPr>
      <w:r w:rsidRPr="00C978B9">
        <w:t>Reporting line</w:t>
      </w:r>
    </w:p>
    <w:p w14:paraId="73267135" w14:textId="73541963" w:rsidR="00E91D2A" w:rsidRDefault="00A55204" w:rsidP="001D133A">
      <w:r>
        <w:t xml:space="preserve">This role will report directly to a senior member of the Events </w:t>
      </w:r>
      <w:r w:rsidR="006E333A">
        <w:t>and</w:t>
      </w:r>
      <w:r w:rsidR="00310D9C">
        <w:t xml:space="preserve"> </w:t>
      </w:r>
      <w:r>
        <w:t>Venues team responsible for managing customer services at the assigned venue or site.</w:t>
      </w:r>
    </w:p>
    <w:p w14:paraId="24D1E548" w14:textId="77777777" w:rsidR="001D133A" w:rsidRDefault="001D133A" w:rsidP="000C453F">
      <w:pPr>
        <w:pStyle w:val="Heading3"/>
      </w:pPr>
      <w:r w:rsidRPr="00C978B9">
        <w:t>Direct reports</w:t>
      </w:r>
    </w:p>
    <w:p w14:paraId="2355CBB5" w14:textId="77777777" w:rsidR="001D133A" w:rsidRPr="00C978B9" w:rsidRDefault="00A55204" w:rsidP="001D133A">
      <w:r>
        <w:t>Nil</w:t>
      </w:r>
    </w:p>
    <w:p w14:paraId="2D749C59" w14:textId="77777777" w:rsidR="001D133A" w:rsidRDefault="001D133A" w:rsidP="000C453F">
      <w:pPr>
        <w:pStyle w:val="Heading3"/>
      </w:pPr>
      <w:r w:rsidRPr="00C978B9">
        <w:t>Budget/Expenditure</w:t>
      </w:r>
    </w:p>
    <w:p w14:paraId="6D9EC1A5" w14:textId="77777777" w:rsidR="005505E4" w:rsidRDefault="00A55204" w:rsidP="005505E4">
      <w:r>
        <w:t>Nil</w:t>
      </w:r>
    </w:p>
    <w:p w14:paraId="7E77C36F" w14:textId="77777777" w:rsidR="00911D8D" w:rsidRPr="000C453F" w:rsidRDefault="00911D8D" w:rsidP="000C453F">
      <w:pPr>
        <w:pStyle w:val="Heading2"/>
        <w:rPr>
          <w:rStyle w:val="Heading1Char"/>
          <w:b/>
          <w:bCs/>
          <w:kern w:val="0"/>
          <w:sz w:val="26"/>
          <w:szCs w:val="28"/>
        </w:rPr>
      </w:pPr>
      <w:bookmarkStart w:id="5" w:name="_Hlk40707470"/>
      <w:r w:rsidRPr="000C453F">
        <w:rPr>
          <w:rStyle w:val="Heading1Char"/>
          <w:b/>
          <w:bCs/>
          <w:kern w:val="0"/>
          <w:sz w:val="26"/>
          <w:szCs w:val="28"/>
        </w:rPr>
        <w:t>Key knowledge and experience</w:t>
      </w:r>
    </w:p>
    <w:p w14:paraId="53917A20" w14:textId="77777777" w:rsidR="001C1B21" w:rsidRDefault="00451042" w:rsidP="00641CB8">
      <w:pPr>
        <w:pStyle w:val="ListBullet"/>
        <w:rPr>
          <w:lang w:eastAsia="en-AU"/>
        </w:rPr>
      </w:pPr>
      <w:r>
        <w:t>Experience in a retail environment, including cash handling procedures, using digital booking software and dealing with customer enquiries in a reception or frontline service area</w:t>
      </w:r>
    </w:p>
    <w:p w14:paraId="0F0700C2" w14:textId="77777777" w:rsidR="001C1B21" w:rsidRDefault="00451042" w:rsidP="00641CB8">
      <w:pPr>
        <w:pStyle w:val="ListBullet"/>
        <w:rPr>
          <w:lang w:eastAsia="en-AU"/>
        </w:rPr>
      </w:pPr>
      <w:r>
        <w:t>Experience in event management</w:t>
      </w:r>
    </w:p>
    <w:p w14:paraId="1AB4D1DE" w14:textId="77777777" w:rsidR="001C1B21" w:rsidRDefault="00451042" w:rsidP="00641CB8">
      <w:pPr>
        <w:pStyle w:val="ListBullet"/>
        <w:rPr>
          <w:lang w:eastAsia="en-AU"/>
        </w:rPr>
      </w:pPr>
      <w:r>
        <w:t>Experience in financial administration, including preparing purchase orders using a financial software system.</w:t>
      </w:r>
    </w:p>
    <w:p w14:paraId="25E3FEC0" w14:textId="77777777" w:rsidR="001C1B21" w:rsidRDefault="00451042" w:rsidP="00641CB8">
      <w:pPr>
        <w:pStyle w:val="ListBullet"/>
        <w:rPr>
          <w:lang w:eastAsia="en-AU"/>
        </w:rPr>
      </w:pPr>
      <w:r>
        <w:t>Experience with a high-volume switchboard and a radio base station</w:t>
      </w:r>
    </w:p>
    <w:bookmarkEnd w:id="5"/>
    <w:p w14:paraId="36B0E211" w14:textId="77777777" w:rsidR="001D133A" w:rsidRDefault="001D133A" w:rsidP="000C453F">
      <w:pPr>
        <w:pStyle w:val="Heading2"/>
      </w:pPr>
      <w:r w:rsidRPr="00C978B9">
        <w:t>Essential requir</w:t>
      </w:r>
      <w:r w:rsidR="00E31CD3" w:rsidRPr="00C978B9">
        <w:t>e</w:t>
      </w:r>
      <w:r w:rsidRPr="00C978B9">
        <w:t>ments</w:t>
      </w:r>
    </w:p>
    <w:p w14:paraId="3ADD899B" w14:textId="77777777" w:rsidR="001C1B21" w:rsidRDefault="00451042" w:rsidP="00641CB8">
      <w:pPr>
        <w:pStyle w:val="ListBullet"/>
        <w:rPr>
          <w:lang w:eastAsia="en-AU"/>
        </w:rPr>
      </w:pPr>
      <w:r>
        <w:t>Ability to work outside of normal working hours and on weekends if required.</w:t>
      </w:r>
    </w:p>
    <w:p w14:paraId="7B2DB0A1" w14:textId="61220E61" w:rsidR="004C1247" w:rsidRDefault="00451042" w:rsidP="004C1247">
      <w:pPr>
        <w:pStyle w:val="ListBullet"/>
      </w:pPr>
      <w:r>
        <w:t xml:space="preserve">Current driver’s licence </w:t>
      </w:r>
      <w:bookmarkStart w:id="6" w:name="_Hlk36203683"/>
      <w:bookmarkStart w:id="7" w:name="_Hlk36565316"/>
      <w:bookmarkStart w:id="8" w:name="_Hlk36209343"/>
      <w:bookmarkStart w:id="9" w:name="_Hlk36710441"/>
    </w:p>
    <w:p w14:paraId="616867AC" w14:textId="77777777" w:rsidR="004C1247" w:rsidRDefault="004C1247" w:rsidP="004C1247">
      <w:pPr>
        <w:pStyle w:val="ListBullet"/>
        <w:numPr>
          <w:ilvl w:val="0"/>
          <w:numId w:val="0"/>
        </w:numPr>
        <w:ind w:left="360"/>
      </w:pPr>
    </w:p>
    <w:p w14:paraId="4F71F605" w14:textId="60320D1B" w:rsidR="009E0B71" w:rsidRPr="004C1247" w:rsidRDefault="009E0B71" w:rsidP="004C1247">
      <w:pPr>
        <w:pStyle w:val="ListBullet"/>
        <w:numPr>
          <w:ilvl w:val="0"/>
          <w:numId w:val="0"/>
        </w:numPr>
        <w:rPr>
          <w:rFonts w:cs="Arial"/>
          <w:b/>
          <w:bCs/>
          <w:iCs/>
          <w:sz w:val="26"/>
          <w:szCs w:val="28"/>
        </w:rPr>
      </w:pPr>
      <w:r w:rsidRPr="004C1247">
        <w:rPr>
          <w:rFonts w:cs="Arial"/>
          <w:b/>
          <w:bCs/>
          <w:iCs/>
          <w:sz w:val="26"/>
          <w:szCs w:val="28"/>
        </w:rPr>
        <w:t>Capabilities for the role</w:t>
      </w:r>
    </w:p>
    <w:p w14:paraId="61F7F5A1" w14:textId="77777777" w:rsidR="009E0B71" w:rsidRPr="00175AAF" w:rsidRDefault="009E0B71" w:rsidP="009E0B71">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00971D33" w14:textId="77777777" w:rsidR="003E0111" w:rsidRPr="003C7A36" w:rsidRDefault="009E0B71" w:rsidP="00E97E4E">
      <w:r w:rsidRPr="003E0111">
        <w:t>The capabilities are separated into focus capabilities and complementary capabilities</w:t>
      </w:r>
    </w:p>
    <w:p w14:paraId="4047DCBC" w14:textId="77777777" w:rsidR="009E0B71" w:rsidRPr="00C978B9" w:rsidRDefault="009E0B71" w:rsidP="000C453F">
      <w:pPr>
        <w:pStyle w:val="Heading2"/>
      </w:pPr>
      <w:r w:rsidRPr="00C978B9">
        <w:t xml:space="preserve">Focus </w:t>
      </w:r>
      <w:r>
        <w:t>c</w:t>
      </w:r>
      <w:r w:rsidRPr="00C978B9">
        <w:t>apabilities</w:t>
      </w:r>
      <w:r w:rsidR="00AC56D6">
        <w:tab/>
      </w:r>
    </w:p>
    <w:p w14:paraId="1FEBDC69" w14:textId="138C659D"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0C22E9DE" w14:textId="77777777" w:rsidR="001B6C10" w:rsidRDefault="001B6C10" w:rsidP="009E0B71">
      <w:pPr>
        <w:pStyle w:val="PlainText"/>
        <w:spacing w:before="62" w:line="276" w:lineRule="auto"/>
        <w:rPr>
          <w:rFonts w:eastAsiaTheme="minorEastAsia"/>
          <w:szCs w:val="22"/>
          <w:lang w:val="en-US"/>
        </w:rPr>
      </w:pPr>
    </w:p>
    <w:p w14:paraId="36736B5B" w14:textId="301042F0"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7AE4C93A" w14:textId="3608A052" w:rsidR="001B6C10" w:rsidRDefault="001B6C10" w:rsidP="001312F5">
      <w:pPr>
        <w:pStyle w:val="PlainText"/>
        <w:spacing w:before="62" w:line="276" w:lineRule="auto"/>
        <w:rPr>
          <w:rFonts w:eastAsiaTheme="minorEastAsia"/>
          <w:szCs w:val="22"/>
          <w:lang w:val="en-US"/>
        </w:rPr>
      </w:pPr>
    </w:p>
    <w:p w14:paraId="03FB3326" w14:textId="56E5E59C" w:rsidR="001B6C10" w:rsidRDefault="001B6C10" w:rsidP="001312F5">
      <w:pPr>
        <w:pStyle w:val="PlainText"/>
        <w:spacing w:before="62" w:line="276" w:lineRule="auto"/>
        <w:rPr>
          <w:rFonts w:eastAsiaTheme="minorEastAsia"/>
          <w:szCs w:val="22"/>
          <w:lang w:val="en-US"/>
        </w:rPr>
      </w:pPr>
    </w:p>
    <w:p w14:paraId="04EA5947" w14:textId="77777777" w:rsidR="00C34914" w:rsidRDefault="00C34914" w:rsidP="00C34914">
      <w:pPr>
        <w:pStyle w:val="Heading2"/>
      </w:pPr>
      <w:r w:rsidRPr="00C978B9">
        <w:lastRenderedPageBreak/>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7C28CB35"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2D6FBCC1"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32A9084A"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19AFC000"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06656D8F" w14:textId="77777777" w:rsidR="00372FE9" w:rsidRPr="00372FE9" w:rsidRDefault="00372FE9" w:rsidP="00372FE9">
            <w:pPr>
              <w:rPr>
                <w:b/>
                <w:bCs/>
                <w:sz w:val="20"/>
              </w:rPr>
            </w:pPr>
            <w:r w:rsidRPr="00372FE9">
              <w:rPr>
                <w:b/>
                <w:bCs/>
                <w:sz w:val="20"/>
              </w:rPr>
              <w:t>Level</w:t>
            </w:r>
          </w:p>
        </w:tc>
      </w:tr>
      <w:tr w:rsidR="006F0836" w:rsidRPr="003C7A36" w14:paraId="7AD9C220" w14:textId="77777777" w:rsidTr="004C659E">
        <w:trPr>
          <w:cantSplit/>
        </w:trPr>
        <w:tc>
          <w:tcPr>
            <w:tcW w:w="1385" w:type="dxa"/>
          </w:tcPr>
          <w:p w14:paraId="44089C4D"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016CF15D" wp14:editId="4B742865">
                  <wp:extent cx="749300" cy="749300"/>
                  <wp:effectExtent l="0" t="0" r="0" b="0"/>
                  <wp:docPr id="2491"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9610D1E" w14:textId="77777777" w:rsidR="00667FCB" w:rsidRDefault="006F0836" w:rsidP="004A1A64">
            <w:pPr>
              <w:rPr>
                <w:rFonts w:cs="Arial"/>
                <w:color w:val="000000"/>
                <w:sz w:val="20"/>
              </w:rPr>
            </w:pPr>
            <w:r w:rsidRPr="003C7A36">
              <w:rPr>
                <w:rFonts w:cs="Arial"/>
                <w:b/>
                <w:bCs/>
                <w:color w:val="000000"/>
                <w:sz w:val="20"/>
              </w:rPr>
              <w:t>Manage Self</w:t>
            </w:r>
          </w:p>
          <w:p w14:paraId="3B40F4E4" w14:textId="77777777" w:rsidR="006F0836" w:rsidRPr="00667FCB" w:rsidRDefault="006F0836" w:rsidP="004A1A64">
            <w:pPr>
              <w:rPr>
                <w:rFonts w:cs="Arial"/>
                <w:color w:val="000000"/>
                <w:sz w:val="20"/>
              </w:rPr>
            </w:pPr>
            <w:r w:rsidRPr="003C7A36">
              <w:rPr>
                <w:rFonts w:cs="Arial"/>
                <w:color w:val="000000"/>
                <w:sz w:val="20"/>
              </w:rPr>
              <w:t>Show drive and motivation, an ability to self-reflect and a commitment to learning</w:t>
            </w:r>
          </w:p>
        </w:tc>
        <w:tc>
          <w:tcPr>
            <w:tcW w:w="4709" w:type="dxa"/>
          </w:tcPr>
          <w:p w14:paraId="45FFA31F" w14:textId="77777777" w:rsidR="006F0836" w:rsidRPr="003C7A36" w:rsidRDefault="006F0836" w:rsidP="00A55204">
            <w:pPr>
              <w:pStyle w:val="TableBullet"/>
            </w:pPr>
            <w:r w:rsidRPr="003C7A36">
              <w:t>Be willing to develop and apply new skills</w:t>
            </w:r>
          </w:p>
          <w:p w14:paraId="7B21C35C" w14:textId="77777777" w:rsidR="006F0836" w:rsidRPr="003C7A36" w:rsidRDefault="006F0836" w:rsidP="00A55204">
            <w:pPr>
              <w:pStyle w:val="TableBullet"/>
            </w:pPr>
            <w:r w:rsidRPr="003C7A36">
              <w:t>Show commitment to completing assigned work activities</w:t>
            </w:r>
          </w:p>
          <w:p w14:paraId="59509E3A" w14:textId="77777777" w:rsidR="006F0836" w:rsidRPr="003C7A36" w:rsidRDefault="006F0836" w:rsidP="00A55204">
            <w:pPr>
              <w:pStyle w:val="TableBullet"/>
            </w:pPr>
            <w:r w:rsidRPr="003C7A36">
              <w:t>Look for opportunities to learn and develop</w:t>
            </w:r>
          </w:p>
          <w:p w14:paraId="04D2F004" w14:textId="77777777" w:rsidR="006F0836" w:rsidRPr="003C7A36" w:rsidRDefault="006F0836" w:rsidP="00A55204">
            <w:pPr>
              <w:pStyle w:val="TableBullet"/>
            </w:pPr>
            <w:r w:rsidRPr="003C7A36">
              <w:t>Reflect on feedback from colleagues and stakeholders</w:t>
            </w:r>
          </w:p>
        </w:tc>
        <w:tc>
          <w:tcPr>
            <w:tcW w:w="1668" w:type="dxa"/>
          </w:tcPr>
          <w:p w14:paraId="2B4E6DDF" w14:textId="77777777" w:rsidR="006F0836" w:rsidRPr="006F0836" w:rsidRDefault="004C659E" w:rsidP="00544127">
            <w:pPr>
              <w:pStyle w:val="TableText"/>
            </w:pPr>
            <w:r w:rsidRPr="004C659E">
              <w:t>Foundational</w:t>
            </w:r>
          </w:p>
        </w:tc>
      </w:tr>
      <w:tr w:rsidR="006F0836" w:rsidRPr="003C7A36" w14:paraId="1CA65BEE" w14:textId="77777777" w:rsidTr="004C659E">
        <w:trPr>
          <w:cantSplit/>
        </w:trPr>
        <w:tc>
          <w:tcPr>
            <w:tcW w:w="1385" w:type="dxa"/>
          </w:tcPr>
          <w:p w14:paraId="0EF935B9"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423E7998" wp14:editId="71CB856C">
                  <wp:extent cx="749300" cy="749300"/>
                  <wp:effectExtent l="0" t="0" r="0" b="0"/>
                  <wp:docPr id="6076"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098EA37F" w14:textId="77777777" w:rsidR="00667FCB" w:rsidRDefault="006F0836" w:rsidP="004A1A64">
            <w:pPr>
              <w:rPr>
                <w:rFonts w:cs="Arial"/>
                <w:color w:val="000000"/>
                <w:sz w:val="20"/>
              </w:rPr>
            </w:pPr>
            <w:r w:rsidRPr="003C7A36">
              <w:rPr>
                <w:rFonts w:cs="Arial"/>
                <w:b/>
                <w:bCs/>
                <w:color w:val="000000"/>
                <w:sz w:val="20"/>
              </w:rPr>
              <w:t>Communicate Effectively</w:t>
            </w:r>
          </w:p>
          <w:p w14:paraId="4022F5D6" w14:textId="77777777" w:rsidR="006F0836" w:rsidRPr="00667FCB" w:rsidRDefault="006F0836" w:rsidP="004A1A64">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183DDD26" w14:textId="77777777" w:rsidR="006F0836" w:rsidRPr="003C7A36" w:rsidRDefault="006F0836" w:rsidP="00A55204">
            <w:pPr>
              <w:pStyle w:val="TableBullet"/>
            </w:pPr>
            <w:r w:rsidRPr="003C7A36">
              <w:t>Focus on key points and speak in plain English</w:t>
            </w:r>
          </w:p>
          <w:p w14:paraId="1859BC72" w14:textId="77777777" w:rsidR="006F0836" w:rsidRPr="003C7A36" w:rsidRDefault="006F0836" w:rsidP="00A55204">
            <w:pPr>
              <w:pStyle w:val="TableBullet"/>
            </w:pPr>
            <w:r w:rsidRPr="003C7A36">
              <w:t>Clearly explain and present ideas and arguments</w:t>
            </w:r>
          </w:p>
          <w:p w14:paraId="459F1963" w14:textId="77777777" w:rsidR="006F0836" w:rsidRPr="003C7A36" w:rsidRDefault="006F0836" w:rsidP="00A55204">
            <w:pPr>
              <w:pStyle w:val="TableBullet"/>
            </w:pPr>
            <w:r w:rsidRPr="003C7A36">
              <w:t>Listen to others to gain an understanding and ask appropriate, respectful questions</w:t>
            </w:r>
          </w:p>
          <w:p w14:paraId="039DB8BF" w14:textId="77777777" w:rsidR="006F0836" w:rsidRPr="003C7A36" w:rsidRDefault="006F0836" w:rsidP="00A55204">
            <w:pPr>
              <w:pStyle w:val="TableBullet"/>
            </w:pPr>
            <w:r w:rsidRPr="003C7A36">
              <w:t>Promote the use of inclusive language and assist others to adjust where necessary</w:t>
            </w:r>
          </w:p>
          <w:p w14:paraId="54C51954" w14:textId="77777777" w:rsidR="006F0836" w:rsidRPr="003C7A36" w:rsidRDefault="006F0836" w:rsidP="00A55204">
            <w:pPr>
              <w:pStyle w:val="TableBullet"/>
            </w:pPr>
            <w:r w:rsidRPr="003C7A36">
              <w:t>Monitor own and others’ non-verbal cues and adapt where necessary</w:t>
            </w:r>
          </w:p>
          <w:p w14:paraId="28699039" w14:textId="77777777" w:rsidR="006F0836" w:rsidRPr="003C7A36" w:rsidRDefault="006F0836" w:rsidP="00A55204">
            <w:pPr>
              <w:pStyle w:val="TableBullet"/>
            </w:pPr>
            <w:r w:rsidRPr="003C7A36">
              <w:t>Write and prepare material that is well structured and easy to follow</w:t>
            </w:r>
          </w:p>
          <w:p w14:paraId="74CE92FA" w14:textId="77777777" w:rsidR="006F0836" w:rsidRPr="003C7A36" w:rsidRDefault="006F0836" w:rsidP="00A55204">
            <w:pPr>
              <w:pStyle w:val="TableBullet"/>
            </w:pPr>
            <w:r w:rsidRPr="003C7A36">
              <w:t>Communicate routine technical information clearly</w:t>
            </w:r>
          </w:p>
        </w:tc>
        <w:tc>
          <w:tcPr>
            <w:tcW w:w="1668" w:type="dxa"/>
          </w:tcPr>
          <w:p w14:paraId="33E96A78" w14:textId="77777777" w:rsidR="006F0836" w:rsidRPr="006F0836" w:rsidRDefault="004C659E" w:rsidP="00544127">
            <w:pPr>
              <w:pStyle w:val="TableText"/>
            </w:pPr>
            <w:r w:rsidRPr="004C659E">
              <w:t>Intermediate</w:t>
            </w:r>
          </w:p>
        </w:tc>
      </w:tr>
      <w:tr w:rsidR="006F0836" w:rsidRPr="003C7A36" w14:paraId="5FA7D26E" w14:textId="77777777" w:rsidTr="004C659E">
        <w:trPr>
          <w:cantSplit/>
        </w:trPr>
        <w:tc>
          <w:tcPr>
            <w:tcW w:w="1385" w:type="dxa"/>
          </w:tcPr>
          <w:p w14:paraId="3521873D"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7CA6BD5" wp14:editId="1B979DED">
                  <wp:extent cx="749300" cy="749300"/>
                  <wp:effectExtent l="0" t="0" r="0" b="0"/>
                  <wp:docPr id="4441"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24DF777" w14:textId="77777777" w:rsidR="00667FCB" w:rsidRDefault="006F0836" w:rsidP="004A1A64">
            <w:pPr>
              <w:rPr>
                <w:rFonts w:cs="Arial"/>
                <w:color w:val="000000"/>
                <w:sz w:val="20"/>
              </w:rPr>
            </w:pPr>
            <w:r w:rsidRPr="003C7A36">
              <w:rPr>
                <w:rFonts w:cs="Arial"/>
                <w:b/>
                <w:bCs/>
                <w:color w:val="000000"/>
                <w:sz w:val="20"/>
              </w:rPr>
              <w:t>Demonstrate Accountability</w:t>
            </w:r>
          </w:p>
          <w:p w14:paraId="641B74EF" w14:textId="77777777" w:rsidR="006F0836" w:rsidRPr="00667FCB" w:rsidRDefault="006F0836" w:rsidP="004A1A64">
            <w:pPr>
              <w:rPr>
                <w:rFonts w:cs="Arial"/>
                <w:color w:val="000000"/>
                <w:sz w:val="20"/>
              </w:rPr>
            </w:pPr>
            <w:r w:rsidRPr="003C7A36">
              <w:rPr>
                <w:rFonts w:cs="Arial"/>
                <w:color w:val="000000"/>
                <w:sz w:val="20"/>
              </w:rPr>
              <w:t>Be proactive and responsible for own actions, and adhere to legislation, policy and guidelines</w:t>
            </w:r>
          </w:p>
        </w:tc>
        <w:tc>
          <w:tcPr>
            <w:tcW w:w="4709" w:type="dxa"/>
          </w:tcPr>
          <w:p w14:paraId="0C61D376" w14:textId="77777777" w:rsidR="006F0836" w:rsidRPr="003C7A36" w:rsidRDefault="006F0836" w:rsidP="00A55204">
            <w:pPr>
              <w:pStyle w:val="TableBullet"/>
            </w:pPr>
            <w:r w:rsidRPr="003C7A36">
              <w:t>Take responsibility for own actions</w:t>
            </w:r>
          </w:p>
          <w:p w14:paraId="1FFA1928" w14:textId="77777777" w:rsidR="006F0836" w:rsidRPr="003C7A36" w:rsidRDefault="006F0836" w:rsidP="00A55204">
            <w:pPr>
              <w:pStyle w:val="TableBullet"/>
            </w:pPr>
            <w:r w:rsidRPr="003C7A36">
              <w:t>Be aware of delegations and act within authority levels</w:t>
            </w:r>
          </w:p>
          <w:p w14:paraId="58A3CB5A" w14:textId="77777777" w:rsidR="006F0836" w:rsidRPr="003C7A36" w:rsidRDefault="006F0836" w:rsidP="00A55204">
            <w:pPr>
              <w:pStyle w:val="TableBullet"/>
            </w:pPr>
            <w:r w:rsidRPr="003C7A36">
              <w:t>Be aware of team goals and their impact on work tasks</w:t>
            </w:r>
          </w:p>
          <w:p w14:paraId="1EBD21E6" w14:textId="77777777" w:rsidR="006F0836" w:rsidRPr="003C7A36" w:rsidRDefault="006F0836" w:rsidP="00A55204">
            <w:pPr>
              <w:pStyle w:val="TableBullet"/>
            </w:pPr>
            <w:r w:rsidRPr="003C7A36">
              <w:t>Follow safe work practices and take reasonable care of own and others’ health and safety</w:t>
            </w:r>
          </w:p>
          <w:p w14:paraId="58CA451A" w14:textId="77777777" w:rsidR="006F0836" w:rsidRPr="003C7A36" w:rsidRDefault="006F0836" w:rsidP="00A55204">
            <w:pPr>
              <w:pStyle w:val="TableBullet"/>
            </w:pPr>
            <w:r w:rsidRPr="003C7A36">
              <w:t>Escalate issues when these are identified</w:t>
            </w:r>
          </w:p>
          <w:p w14:paraId="62C9DA66" w14:textId="77777777" w:rsidR="006F0836" w:rsidRPr="003C7A36" w:rsidRDefault="006F0836" w:rsidP="00A55204">
            <w:pPr>
              <w:pStyle w:val="TableBullet"/>
            </w:pPr>
            <w:r w:rsidRPr="003C7A36">
              <w:t>Follow government and organisational record-keeping requirements</w:t>
            </w:r>
          </w:p>
        </w:tc>
        <w:tc>
          <w:tcPr>
            <w:tcW w:w="1668" w:type="dxa"/>
          </w:tcPr>
          <w:p w14:paraId="74CC60BB" w14:textId="77777777" w:rsidR="006F0836" w:rsidRPr="006F0836" w:rsidRDefault="004C659E" w:rsidP="00544127">
            <w:pPr>
              <w:pStyle w:val="TableText"/>
            </w:pPr>
            <w:r w:rsidRPr="004C659E">
              <w:t>Foundational</w:t>
            </w:r>
          </w:p>
        </w:tc>
      </w:tr>
      <w:tr w:rsidR="006F0836" w:rsidRPr="003C7A36" w14:paraId="4E16ADA3" w14:textId="77777777" w:rsidTr="004C659E">
        <w:trPr>
          <w:cantSplit/>
        </w:trPr>
        <w:tc>
          <w:tcPr>
            <w:tcW w:w="1385" w:type="dxa"/>
          </w:tcPr>
          <w:p w14:paraId="4440A066"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29254E2" wp14:editId="62CF1606">
                  <wp:extent cx="749300" cy="749300"/>
                  <wp:effectExtent l="0" t="0" r="0" b="0"/>
                  <wp:docPr id="8026"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E564C1B" w14:textId="77777777" w:rsidR="00667FCB" w:rsidRDefault="006F0836" w:rsidP="004A1A64">
            <w:pPr>
              <w:rPr>
                <w:rFonts w:cs="Arial"/>
                <w:color w:val="000000"/>
                <w:sz w:val="20"/>
              </w:rPr>
            </w:pPr>
            <w:r w:rsidRPr="003C7A36">
              <w:rPr>
                <w:rFonts w:cs="Arial"/>
                <w:b/>
                <w:bCs/>
                <w:color w:val="000000"/>
                <w:sz w:val="20"/>
              </w:rPr>
              <w:t>Technology</w:t>
            </w:r>
          </w:p>
          <w:p w14:paraId="4FB2ACF5" w14:textId="77777777" w:rsidR="006F0836" w:rsidRPr="00667FCB" w:rsidRDefault="006F0836" w:rsidP="004A1A64">
            <w:pPr>
              <w:rPr>
                <w:rFonts w:cs="Arial"/>
                <w:color w:val="000000"/>
                <w:sz w:val="20"/>
              </w:rPr>
            </w:pPr>
            <w:r w:rsidRPr="003C7A36">
              <w:rPr>
                <w:rFonts w:cs="Arial"/>
                <w:color w:val="000000"/>
                <w:sz w:val="20"/>
              </w:rPr>
              <w:t>Understand and use available technologies to maximise efficiencies and effectiveness</w:t>
            </w:r>
          </w:p>
        </w:tc>
        <w:tc>
          <w:tcPr>
            <w:tcW w:w="4709" w:type="dxa"/>
          </w:tcPr>
          <w:p w14:paraId="14A2044E" w14:textId="77777777" w:rsidR="006F0836" w:rsidRPr="003C7A36" w:rsidRDefault="006F0836" w:rsidP="00A55204">
            <w:pPr>
              <w:pStyle w:val="TableBullet"/>
            </w:pPr>
            <w:r w:rsidRPr="003C7A36">
              <w:t>Demonstrate a sound understanding of technology relevant to the work unit, and identify and select the most appropriate technology for assigned tasks</w:t>
            </w:r>
          </w:p>
          <w:p w14:paraId="268BDAE3" w14:textId="77777777" w:rsidR="006F0836" w:rsidRPr="003C7A36" w:rsidRDefault="006F0836" w:rsidP="00A55204">
            <w:pPr>
              <w:pStyle w:val="TableBullet"/>
            </w:pPr>
            <w:r w:rsidRPr="003C7A36">
              <w:t>Use available technology to improve individual performance and effectiveness</w:t>
            </w:r>
          </w:p>
          <w:p w14:paraId="5E58F2EE" w14:textId="77777777" w:rsidR="006F0836" w:rsidRPr="003C7A36" w:rsidRDefault="006F0836" w:rsidP="00A55204">
            <w:pPr>
              <w:pStyle w:val="TableBullet"/>
            </w:pPr>
            <w:r w:rsidRPr="003C7A36">
              <w:t>Make effective use of records, information and knowledge management functions and systems</w:t>
            </w:r>
          </w:p>
          <w:p w14:paraId="156C84B5" w14:textId="77777777" w:rsidR="006F0836" w:rsidRPr="003C7A36" w:rsidRDefault="006F0836" w:rsidP="00A55204">
            <w:pPr>
              <w:pStyle w:val="TableBullet"/>
            </w:pPr>
            <w:r w:rsidRPr="003C7A36">
              <w:t>Support the implementation of systems improvement initiatives, and the introduction and roll-out of new technologies</w:t>
            </w:r>
          </w:p>
        </w:tc>
        <w:tc>
          <w:tcPr>
            <w:tcW w:w="1668" w:type="dxa"/>
          </w:tcPr>
          <w:p w14:paraId="7F2BCAF9" w14:textId="77777777" w:rsidR="006F0836" w:rsidRPr="006F0836" w:rsidRDefault="004C659E" w:rsidP="00544127">
            <w:pPr>
              <w:pStyle w:val="TableText"/>
            </w:pPr>
            <w:r w:rsidRPr="004C659E">
              <w:t>Intermediate</w:t>
            </w:r>
          </w:p>
        </w:tc>
      </w:tr>
    </w:tbl>
    <w:p w14:paraId="571037BB" w14:textId="77777777" w:rsidR="00A7563F" w:rsidRDefault="00A7563F"/>
    <w:p w14:paraId="2436E1E5" w14:textId="77777777" w:rsidR="00372FE9" w:rsidRDefault="00372FE9" w:rsidP="00372FE9"/>
    <w:p w14:paraId="6884C350" w14:textId="77777777" w:rsidR="009E0B71" w:rsidRDefault="009E0B71" w:rsidP="000C453F">
      <w:pPr>
        <w:pStyle w:val="Heading2"/>
      </w:pPr>
      <w:r>
        <w:lastRenderedPageBreak/>
        <w:t>Complementary capabilities</w:t>
      </w:r>
    </w:p>
    <w:p w14:paraId="4845CBF3"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38ADF4BB"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04928068"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51D210D1"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0354BA6D"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64809441"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33C46559"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1070C8BF" w14:textId="77777777" w:rsidR="00372FE9" w:rsidRPr="00372FE9" w:rsidRDefault="00372FE9" w:rsidP="00372FE9">
            <w:pPr>
              <w:rPr>
                <w:b/>
                <w:bCs/>
                <w:sz w:val="20"/>
              </w:rPr>
            </w:pPr>
            <w:r w:rsidRPr="00372FE9">
              <w:rPr>
                <w:b/>
                <w:bCs/>
                <w:sz w:val="20"/>
              </w:rPr>
              <w:t>Level</w:t>
            </w:r>
          </w:p>
        </w:tc>
      </w:tr>
      <w:tr w:rsidR="00372FE9" w:rsidRPr="00372FE9" w14:paraId="50AE8B7C" w14:textId="77777777" w:rsidTr="004C659E">
        <w:trPr>
          <w:cantSplit/>
        </w:trPr>
        <w:tc>
          <w:tcPr>
            <w:tcW w:w="1276" w:type="dxa"/>
          </w:tcPr>
          <w:p w14:paraId="02DBFC12" w14:textId="77777777" w:rsidR="00372FE9" w:rsidRPr="00372FE9" w:rsidRDefault="00372FE9" w:rsidP="00372FE9">
            <w:pPr>
              <w:rPr>
                <w:sz w:val="20"/>
              </w:rPr>
            </w:pPr>
            <w:r w:rsidRPr="00372FE9">
              <w:rPr>
                <w:noProof/>
                <w:sz w:val="20"/>
                <w:lang w:eastAsia="en-AU"/>
              </w:rPr>
              <w:drawing>
                <wp:inline distT="0" distB="0" distL="0" distR="0" wp14:anchorId="3D8CDFA9" wp14:editId="606D3D6B">
                  <wp:extent cx="416966" cy="416966"/>
                  <wp:effectExtent l="0" t="0" r="2540" b="2540"/>
                  <wp:docPr id="1620"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C61DF5B" w14:textId="77777777" w:rsidR="00372FE9" w:rsidRPr="00372FE9" w:rsidRDefault="00372FE9" w:rsidP="00544127">
            <w:pPr>
              <w:pStyle w:val="TableText"/>
            </w:pPr>
            <w:r w:rsidRPr="00372FE9">
              <w:t>Display Resilience and Courage</w:t>
            </w:r>
          </w:p>
        </w:tc>
        <w:tc>
          <w:tcPr>
            <w:tcW w:w="4851" w:type="dxa"/>
          </w:tcPr>
          <w:p w14:paraId="61C29554" w14:textId="77777777" w:rsidR="00372FE9" w:rsidRPr="00372FE9" w:rsidRDefault="00372FE9" w:rsidP="00544127">
            <w:pPr>
              <w:pStyle w:val="TableText"/>
            </w:pPr>
            <w:r w:rsidRPr="00372FE9">
              <w:t>Be open and honest, prepared to express your views, and willing to accept and commit to change</w:t>
            </w:r>
          </w:p>
        </w:tc>
        <w:tc>
          <w:tcPr>
            <w:tcW w:w="1668" w:type="dxa"/>
          </w:tcPr>
          <w:p w14:paraId="00E79E3F" w14:textId="77777777" w:rsidR="00372FE9" w:rsidRPr="00372FE9" w:rsidRDefault="004C659E" w:rsidP="00544127">
            <w:pPr>
              <w:pStyle w:val="TableText"/>
            </w:pPr>
            <w:r w:rsidRPr="004C659E">
              <w:t>Foundational</w:t>
            </w:r>
          </w:p>
        </w:tc>
      </w:tr>
      <w:tr w:rsidR="00372FE9" w:rsidRPr="00372FE9" w14:paraId="1B5E33BA" w14:textId="77777777" w:rsidTr="004C659E">
        <w:trPr>
          <w:cantSplit/>
        </w:trPr>
        <w:tc>
          <w:tcPr>
            <w:tcW w:w="1276" w:type="dxa"/>
          </w:tcPr>
          <w:p w14:paraId="532A0184" w14:textId="77777777" w:rsidR="00372FE9" w:rsidRPr="00372FE9" w:rsidRDefault="00372FE9" w:rsidP="00372FE9">
            <w:pPr>
              <w:rPr>
                <w:sz w:val="20"/>
              </w:rPr>
            </w:pPr>
            <w:r w:rsidRPr="00372FE9">
              <w:rPr>
                <w:noProof/>
                <w:sz w:val="20"/>
                <w:lang w:eastAsia="en-AU"/>
              </w:rPr>
              <w:drawing>
                <wp:inline distT="0" distB="0" distL="0" distR="0" wp14:anchorId="59DA28B5" wp14:editId="215884BE">
                  <wp:extent cx="416966" cy="416966"/>
                  <wp:effectExtent l="0" t="0" r="2540" b="2540"/>
                  <wp:docPr id="997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D8918B9" w14:textId="77777777" w:rsidR="00372FE9" w:rsidRPr="00372FE9" w:rsidRDefault="00372FE9" w:rsidP="00544127">
            <w:pPr>
              <w:pStyle w:val="TableText"/>
            </w:pPr>
            <w:r w:rsidRPr="00372FE9">
              <w:t>Act with Integrity</w:t>
            </w:r>
          </w:p>
        </w:tc>
        <w:tc>
          <w:tcPr>
            <w:tcW w:w="4851" w:type="dxa"/>
          </w:tcPr>
          <w:p w14:paraId="5F8616AB" w14:textId="77777777" w:rsidR="00372FE9" w:rsidRPr="00372FE9" w:rsidRDefault="00372FE9" w:rsidP="00544127">
            <w:pPr>
              <w:pStyle w:val="TableText"/>
            </w:pPr>
            <w:r w:rsidRPr="00372FE9">
              <w:t>Be ethical and professional, and uphold and promote the public sector values</w:t>
            </w:r>
          </w:p>
        </w:tc>
        <w:tc>
          <w:tcPr>
            <w:tcW w:w="1668" w:type="dxa"/>
          </w:tcPr>
          <w:p w14:paraId="3620976E" w14:textId="77777777" w:rsidR="00372FE9" w:rsidRPr="00372FE9" w:rsidRDefault="004C659E" w:rsidP="00544127">
            <w:pPr>
              <w:pStyle w:val="TableText"/>
            </w:pPr>
            <w:r w:rsidRPr="004C659E">
              <w:t>Foundational</w:t>
            </w:r>
          </w:p>
        </w:tc>
      </w:tr>
      <w:tr w:rsidR="00372FE9" w:rsidRPr="00372FE9" w14:paraId="1F4FE025" w14:textId="77777777" w:rsidTr="004C659E">
        <w:trPr>
          <w:cantSplit/>
        </w:trPr>
        <w:tc>
          <w:tcPr>
            <w:tcW w:w="1276" w:type="dxa"/>
          </w:tcPr>
          <w:p w14:paraId="07F3151B" w14:textId="77777777" w:rsidR="00372FE9" w:rsidRPr="00372FE9" w:rsidRDefault="00372FE9" w:rsidP="00372FE9">
            <w:pPr>
              <w:rPr>
                <w:sz w:val="20"/>
              </w:rPr>
            </w:pPr>
            <w:r w:rsidRPr="00372FE9">
              <w:rPr>
                <w:noProof/>
                <w:sz w:val="20"/>
                <w:lang w:eastAsia="en-AU"/>
              </w:rPr>
              <w:drawing>
                <wp:inline distT="0" distB="0" distL="0" distR="0" wp14:anchorId="5BE93075" wp14:editId="1BF4E4A1">
                  <wp:extent cx="416966" cy="416966"/>
                  <wp:effectExtent l="0" t="0" r="2540" b="2540"/>
                  <wp:docPr id="3570"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37D5892" w14:textId="77777777" w:rsidR="00372FE9" w:rsidRPr="00372FE9" w:rsidRDefault="00372FE9" w:rsidP="00544127">
            <w:pPr>
              <w:pStyle w:val="TableText"/>
            </w:pPr>
            <w:r w:rsidRPr="00372FE9">
              <w:t>Value Diversity and Inclusion</w:t>
            </w:r>
          </w:p>
        </w:tc>
        <w:tc>
          <w:tcPr>
            <w:tcW w:w="4851" w:type="dxa"/>
          </w:tcPr>
          <w:p w14:paraId="4ABB8F83"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187D7074" w14:textId="77777777" w:rsidR="00372FE9" w:rsidRPr="00372FE9" w:rsidRDefault="004C659E" w:rsidP="00544127">
            <w:pPr>
              <w:pStyle w:val="TableText"/>
            </w:pPr>
            <w:r w:rsidRPr="004C659E">
              <w:t>Foundational</w:t>
            </w:r>
          </w:p>
        </w:tc>
      </w:tr>
      <w:tr w:rsidR="00372FE9" w:rsidRPr="00372FE9" w14:paraId="7C227528" w14:textId="77777777" w:rsidTr="004C659E">
        <w:trPr>
          <w:cantSplit/>
        </w:trPr>
        <w:tc>
          <w:tcPr>
            <w:tcW w:w="1276" w:type="dxa"/>
          </w:tcPr>
          <w:p w14:paraId="5656A24A" w14:textId="77777777" w:rsidR="00372FE9" w:rsidRPr="00372FE9" w:rsidRDefault="00372FE9" w:rsidP="00372FE9">
            <w:pPr>
              <w:rPr>
                <w:sz w:val="20"/>
              </w:rPr>
            </w:pPr>
            <w:r w:rsidRPr="00372FE9">
              <w:rPr>
                <w:noProof/>
                <w:sz w:val="20"/>
                <w:lang w:eastAsia="en-AU"/>
              </w:rPr>
              <w:drawing>
                <wp:inline distT="0" distB="0" distL="0" distR="0" wp14:anchorId="1CF3AC16" wp14:editId="4B1D994A">
                  <wp:extent cx="416966" cy="416966"/>
                  <wp:effectExtent l="0" t="0" r="2540" b="2540"/>
                  <wp:docPr id="1935"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49CC939" w14:textId="77777777" w:rsidR="00372FE9" w:rsidRPr="00372FE9" w:rsidRDefault="00372FE9" w:rsidP="00544127">
            <w:pPr>
              <w:pStyle w:val="TableText"/>
            </w:pPr>
            <w:r w:rsidRPr="00372FE9">
              <w:t>Commit to Customer Service</w:t>
            </w:r>
          </w:p>
        </w:tc>
        <w:tc>
          <w:tcPr>
            <w:tcW w:w="4851" w:type="dxa"/>
          </w:tcPr>
          <w:p w14:paraId="1DE06F78" w14:textId="77777777" w:rsidR="00372FE9" w:rsidRPr="00372FE9" w:rsidRDefault="00372FE9" w:rsidP="00544127">
            <w:pPr>
              <w:pStyle w:val="TableText"/>
            </w:pPr>
            <w:r w:rsidRPr="00372FE9">
              <w:t>Provide customer-focused services in line with public sector and organisational objectives</w:t>
            </w:r>
          </w:p>
        </w:tc>
        <w:tc>
          <w:tcPr>
            <w:tcW w:w="1668" w:type="dxa"/>
          </w:tcPr>
          <w:p w14:paraId="46210750" w14:textId="77777777" w:rsidR="00372FE9" w:rsidRPr="00372FE9" w:rsidRDefault="004C659E" w:rsidP="00544127">
            <w:pPr>
              <w:pStyle w:val="TableText"/>
            </w:pPr>
            <w:r w:rsidRPr="004C659E">
              <w:t>Foundational</w:t>
            </w:r>
          </w:p>
        </w:tc>
      </w:tr>
      <w:tr w:rsidR="00372FE9" w:rsidRPr="00372FE9" w14:paraId="6D1376D5" w14:textId="77777777" w:rsidTr="004C659E">
        <w:trPr>
          <w:cantSplit/>
        </w:trPr>
        <w:tc>
          <w:tcPr>
            <w:tcW w:w="1276" w:type="dxa"/>
          </w:tcPr>
          <w:p w14:paraId="50F56B5A" w14:textId="77777777" w:rsidR="00372FE9" w:rsidRPr="00372FE9" w:rsidRDefault="00372FE9" w:rsidP="00372FE9">
            <w:pPr>
              <w:rPr>
                <w:sz w:val="20"/>
              </w:rPr>
            </w:pPr>
            <w:r w:rsidRPr="00372FE9">
              <w:rPr>
                <w:noProof/>
                <w:sz w:val="20"/>
                <w:lang w:eastAsia="en-AU"/>
              </w:rPr>
              <w:drawing>
                <wp:inline distT="0" distB="0" distL="0" distR="0" wp14:anchorId="498E88CB" wp14:editId="7C22B693">
                  <wp:extent cx="416966" cy="416966"/>
                  <wp:effectExtent l="0" t="0" r="2540" b="2540"/>
                  <wp:docPr id="5520"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2244438" w14:textId="77777777" w:rsidR="00372FE9" w:rsidRPr="00372FE9" w:rsidRDefault="00372FE9" w:rsidP="00544127">
            <w:pPr>
              <w:pStyle w:val="TableText"/>
            </w:pPr>
            <w:r w:rsidRPr="00372FE9">
              <w:t>Work Collaboratively</w:t>
            </w:r>
          </w:p>
        </w:tc>
        <w:tc>
          <w:tcPr>
            <w:tcW w:w="4851" w:type="dxa"/>
          </w:tcPr>
          <w:p w14:paraId="745A0117" w14:textId="77777777" w:rsidR="00372FE9" w:rsidRPr="00372FE9" w:rsidRDefault="00372FE9" w:rsidP="00544127">
            <w:pPr>
              <w:pStyle w:val="TableText"/>
            </w:pPr>
            <w:r w:rsidRPr="00372FE9">
              <w:t>Collaborate with others and value their contribution</w:t>
            </w:r>
          </w:p>
        </w:tc>
        <w:tc>
          <w:tcPr>
            <w:tcW w:w="1668" w:type="dxa"/>
          </w:tcPr>
          <w:p w14:paraId="3BE8CD29" w14:textId="77777777" w:rsidR="00372FE9" w:rsidRPr="00372FE9" w:rsidRDefault="004C659E" w:rsidP="00544127">
            <w:pPr>
              <w:pStyle w:val="TableText"/>
            </w:pPr>
            <w:r w:rsidRPr="004C659E">
              <w:t>Foundational</w:t>
            </w:r>
          </w:p>
        </w:tc>
      </w:tr>
      <w:tr w:rsidR="00372FE9" w:rsidRPr="00372FE9" w14:paraId="63E55B94" w14:textId="77777777" w:rsidTr="004C659E">
        <w:trPr>
          <w:cantSplit/>
        </w:trPr>
        <w:tc>
          <w:tcPr>
            <w:tcW w:w="1276" w:type="dxa"/>
          </w:tcPr>
          <w:p w14:paraId="1EC2BA86" w14:textId="77777777" w:rsidR="00372FE9" w:rsidRPr="00372FE9" w:rsidRDefault="00372FE9" w:rsidP="00372FE9">
            <w:pPr>
              <w:rPr>
                <w:sz w:val="20"/>
              </w:rPr>
            </w:pPr>
            <w:r w:rsidRPr="00372FE9">
              <w:rPr>
                <w:noProof/>
                <w:sz w:val="20"/>
                <w:lang w:eastAsia="en-AU"/>
              </w:rPr>
              <w:drawing>
                <wp:inline distT="0" distB="0" distL="0" distR="0" wp14:anchorId="5AC315A5" wp14:editId="092238AE">
                  <wp:extent cx="416966" cy="416966"/>
                  <wp:effectExtent l="0" t="0" r="2540" b="2540"/>
                  <wp:docPr id="9104"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F7A64F2" w14:textId="77777777" w:rsidR="00372FE9" w:rsidRPr="00372FE9" w:rsidRDefault="00372FE9" w:rsidP="00544127">
            <w:pPr>
              <w:pStyle w:val="TableText"/>
            </w:pPr>
            <w:r w:rsidRPr="00372FE9">
              <w:t>Influence and Negotiate</w:t>
            </w:r>
          </w:p>
        </w:tc>
        <w:tc>
          <w:tcPr>
            <w:tcW w:w="4851" w:type="dxa"/>
          </w:tcPr>
          <w:p w14:paraId="057F6F96" w14:textId="77777777" w:rsidR="00372FE9" w:rsidRPr="00372FE9" w:rsidRDefault="00372FE9" w:rsidP="00544127">
            <w:pPr>
              <w:pStyle w:val="TableText"/>
            </w:pPr>
            <w:r w:rsidRPr="00372FE9">
              <w:t>Gain consensus and commitment from others, and resolve issues and conflicts</w:t>
            </w:r>
          </w:p>
        </w:tc>
        <w:tc>
          <w:tcPr>
            <w:tcW w:w="1668" w:type="dxa"/>
          </w:tcPr>
          <w:p w14:paraId="04E86E8A" w14:textId="77777777" w:rsidR="00372FE9" w:rsidRPr="00372FE9" w:rsidRDefault="004C659E" w:rsidP="00544127">
            <w:pPr>
              <w:pStyle w:val="TableText"/>
            </w:pPr>
            <w:r w:rsidRPr="004C659E">
              <w:t>Foundational</w:t>
            </w:r>
          </w:p>
        </w:tc>
      </w:tr>
      <w:tr w:rsidR="00372FE9" w:rsidRPr="00372FE9" w14:paraId="46C54E40" w14:textId="77777777" w:rsidTr="004C659E">
        <w:trPr>
          <w:cantSplit/>
        </w:trPr>
        <w:tc>
          <w:tcPr>
            <w:tcW w:w="1276" w:type="dxa"/>
          </w:tcPr>
          <w:p w14:paraId="70F7267D" w14:textId="77777777" w:rsidR="00372FE9" w:rsidRPr="00372FE9" w:rsidRDefault="00372FE9" w:rsidP="00372FE9">
            <w:pPr>
              <w:rPr>
                <w:sz w:val="20"/>
              </w:rPr>
            </w:pPr>
            <w:r w:rsidRPr="00372FE9">
              <w:rPr>
                <w:noProof/>
                <w:sz w:val="20"/>
                <w:lang w:eastAsia="en-AU"/>
              </w:rPr>
              <w:drawing>
                <wp:inline distT="0" distB="0" distL="0" distR="0" wp14:anchorId="00E5279B" wp14:editId="722D2838">
                  <wp:extent cx="416966" cy="416966"/>
                  <wp:effectExtent l="0" t="0" r="2540" b="2540"/>
                  <wp:docPr id="7470"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48C6E90" w14:textId="77777777" w:rsidR="00372FE9" w:rsidRPr="00372FE9" w:rsidRDefault="00372FE9" w:rsidP="00544127">
            <w:pPr>
              <w:pStyle w:val="TableText"/>
            </w:pPr>
            <w:r w:rsidRPr="00372FE9">
              <w:t>Deliver Results</w:t>
            </w:r>
          </w:p>
        </w:tc>
        <w:tc>
          <w:tcPr>
            <w:tcW w:w="4851" w:type="dxa"/>
          </w:tcPr>
          <w:p w14:paraId="2A7A6C8C" w14:textId="77777777" w:rsidR="00372FE9" w:rsidRPr="00372FE9" w:rsidRDefault="00372FE9" w:rsidP="00544127">
            <w:pPr>
              <w:pStyle w:val="TableText"/>
            </w:pPr>
            <w:r w:rsidRPr="00372FE9">
              <w:t>Achieve results through the efficient use of resources and a commitment to quality outcomes</w:t>
            </w:r>
          </w:p>
        </w:tc>
        <w:tc>
          <w:tcPr>
            <w:tcW w:w="1668" w:type="dxa"/>
          </w:tcPr>
          <w:p w14:paraId="35A2EF5B" w14:textId="77777777" w:rsidR="00372FE9" w:rsidRPr="00372FE9" w:rsidRDefault="004C659E" w:rsidP="00544127">
            <w:pPr>
              <w:pStyle w:val="TableText"/>
            </w:pPr>
            <w:r w:rsidRPr="004C659E">
              <w:t>Foundational</w:t>
            </w:r>
          </w:p>
        </w:tc>
      </w:tr>
      <w:tr w:rsidR="00372FE9" w:rsidRPr="00372FE9" w14:paraId="443E14FE" w14:textId="77777777" w:rsidTr="004C659E">
        <w:trPr>
          <w:cantSplit/>
        </w:trPr>
        <w:tc>
          <w:tcPr>
            <w:tcW w:w="1276" w:type="dxa"/>
          </w:tcPr>
          <w:p w14:paraId="1A57BF13" w14:textId="77777777" w:rsidR="00372FE9" w:rsidRPr="00372FE9" w:rsidRDefault="00372FE9" w:rsidP="00372FE9">
            <w:pPr>
              <w:rPr>
                <w:sz w:val="20"/>
              </w:rPr>
            </w:pPr>
            <w:r w:rsidRPr="00372FE9">
              <w:rPr>
                <w:noProof/>
                <w:sz w:val="20"/>
                <w:lang w:eastAsia="en-AU"/>
              </w:rPr>
              <w:drawing>
                <wp:inline distT="0" distB="0" distL="0" distR="0" wp14:anchorId="496CCE0D" wp14:editId="6E29A8B4">
                  <wp:extent cx="416966" cy="416966"/>
                  <wp:effectExtent l="0" t="0" r="2540" b="2540"/>
                  <wp:docPr id="1064"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349FCDE" w14:textId="77777777" w:rsidR="00372FE9" w:rsidRPr="00372FE9" w:rsidRDefault="00372FE9" w:rsidP="00544127">
            <w:pPr>
              <w:pStyle w:val="TableText"/>
            </w:pPr>
            <w:r w:rsidRPr="00372FE9">
              <w:t>Plan and Prioritise</w:t>
            </w:r>
          </w:p>
        </w:tc>
        <w:tc>
          <w:tcPr>
            <w:tcW w:w="4851" w:type="dxa"/>
          </w:tcPr>
          <w:p w14:paraId="387696A2" w14:textId="77777777" w:rsidR="00372FE9" w:rsidRPr="00372FE9" w:rsidRDefault="00372FE9" w:rsidP="00544127">
            <w:pPr>
              <w:pStyle w:val="TableText"/>
            </w:pPr>
            <w:r w:rsidRPr="00372FE9">
              <w:t>Plan to achieve priority outcomes and respond flexibly to changing circumstances</w:t>
            </w:r>
          </w:p>
        </w:tc>
        <w:tc>
          <w:tcPr>
            <w:tcW w:w="1668" w:type="dxa"/>
          </w:tcPr>
          <w:p w14:paraId="387D915B" w14:textId="77777777" w:rsidR="00372FE9" w:rsidRPr="00372FE9" w:rsidRDefault="004C659E" w:rsidP="00544127">
            <w:pPr>
              <w:pStyle w:val="TableText"/>
            </w:pPr>
            <w:r w:rsidRPr="004C659E">
              <w:t>Foundational</w:t>
            </w:r>
          </w:p>
        </w:tc>
      </w:tr>
      <w:tr w:rsidR="00372FE9" w:rsidRPr="00372FE9" w14:paraId="2A8EBC0A" w14:textId="77777777" w:rsidTr="004C659E">
        <w:trPr>
          <w:cantSplit/>
        </w:trPr>
        <w:tc>
          <w:tcPr>
            <w:tcW w:w="1276" w:type="dxa"/>
          </w:tcPr>
          <w:p w14:paraId="1CB83250" w14:textId="77777777" w:rsidR="00372FE9" w:rsidRPr="00372FE9" w:rsidRDefault="00372FE9" w:rsidP="00372FE9">
            <w:pPr>
              <w:rPr>
                <w:sz w:val="20"/>
              </w:rPr>
            </w:pPr>
            <w:r w:rsidRPr="00372FE9">
              <w:rPr>
                <w:noProof/>
                <w:sz w:val="20"/>
                <w:lang w:eastAsia="en-AU"/>
              </w:rPr>
              <w:drawing>
                <wp:inline distT="0" distB="0" distL="0" distR="0" wp14:anchorId="4F39F561" wp14:editId="7D876AF8">
                  <wp:extent cx="416966" cy="416966"/>
                  <wp:effectExtent l="0" t="0" r="2540" b="2540"/>
                  <wp:docPr id="4649"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16ED8F7" w14:textId="77777777" w:rsidR="00372FE9" w:rsidRPr="00372FE9" w:rsidRDefault="00372FE9" w:rsidP="00544127">
            <w:pPr>
              <w:pStyle w:val="TableText"/>
            </w:pPr>
            <w:r w:rsidRPr="00372FE9">
              <w:t>Think and Solve Problems</w:t>
            </w:r>
          </w:p>
        </w:tc>
        <w:tc>
          <w:tcPr>
            <w:tcW w:w="4851" w:type="dxa"/>
          </w:tcPr>
          <w:p w14:paraId="74865485" w14:textId="77777777" w:rsidR="00372FE9" w:rsidRPr="00372FE9" w:rsidRDefault="00372FE9" w:rsidP="00544127">
            <w:pPr>
              <w:pStyle w:val="TableText"/>
            </w:pPr>
            <w:r w:rsidRPr="00372FE9">
              <w:t>Think, analyse and consider the broader context to develop practical solutions</w:t>
            </w:r>
          </w:p>
        </w:tc>
        <w:tc>
          <w:tcPr>
            <w:tcW w:w="1668" w:type="dxa"/>
          </w:tcPr>
          <w:p w14:paraId="60655585" w14:textId="77777777" w:rsidR="00372FE9" w:rsidRPr="00372FE9" w:rsidRDefault="004C659E" w:rsidP="00544127">
            <w:pPr>
              <w:pStyle w:val="TableText"/>
            </w:pPr>
            <w:r w:rsidRPr="004C659E">
              <w:t>Foundational</w:t>
            </w:r>
          </w:p>
        </w:tc>
      </w:tr>
      <w:tr w:rsidR="00372FE9" w:rsidRPr="00372FE9" w14:paraId="6D81CB75" w14:textId="77777777" w:rsidTr="004C659E">
        <w:trPr>
          <w:cantSplit/>
        </w:trPr>
        <w:tc>
          <w:tcPr>
            <w:tcW w:w="1276" w:type="dxa"/>
          </w:tcPr>
          <w:p w14:paraId="40D0949D" w14:textId="77777777" w:rsidR="00372FE9" w:rsidRPr="00372FE9" w:rsidRDefault="00372FE9" w:rsidP="00372FE9">
            <w:pPr>
              <w:rPr>
                <w:sz w:val="20"/>
              </w:rPr>
            </w:pPr>
            <w:r w:rsidRPr="00372FE9">
              <w:rPr>
                <w:noProof/>
                <w:sz w:val="20"/>
                <w:lang w:eastAsia="en-AU"/>
              </w:rPr>
              <w:drawing>
                <wp:inline distT="0" distB="0" distL="0" distR="0" wp14:anchorId="4F1F990A" wp14:editId="0A3EF2AC">
                  <wp:extent cx="416966" cy="416966"/>
                  <wp:effectExtent l="0" t="0" r="2540" b="2540"/>
                  <wp:docPr id="301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CE221BB" w14:textId="77777777" w:rsidR="00372FE9" w:rsidRPr="00372FE9" w:rsidRDefault="00372FE9" w:rsidP="00544127">
            <w:pPr>
              <w:pStyle w:val="TableText"/>
            </w:pPr>
            <w:r w:rsidRPr="00372FE9">
              <w:t>Finance</w:t>
            </w:r>
          </w:p>
        </w:tc>
        <w:tc>
          <w:tcPr>
            <w:tcW w:w="4851" w:type="dxa"/>
          </w:tcPr>
          <w:p w14:paraId="2A34BC7B"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442F8157" w14:textId="77777777" w:rsidR="00372FE9" w:rsidRPr="00372FE9" w:rsidRDefault="004C659E" w:rsidP="00544127">
            <w:pPr>
              <w:pStyle w:val="TableText"/>
            </w:pPr>
            <w:r w:rsidRPr="004C659E">
              <w:t>Foundational</w:t>
            </w:r>
          </w:p>
        </w:tc>
      </w:tr>
      <w:tr w:rsidR="00372FE9" w:rsidRPr="00372FE9" w14:paraId="5D4F91FE" w14:textId="77777777" w:rsidTr="004C659E">
        <w:trPr>
          <w:cantSplit/>
        </w:trPr>
        <w:tc>
          <w:tcPr>
            <w:tcW w:w="1276" w:type="dxa"/>
          </w:tcPr>
          <w:p w14:paraId="27673414" w14:textId="77777777" w:rsidR="00372FE9" w:rsidRPr="00372FE9" w:rsidRDefault="00372FE9" w:rsidP="00372FE9">
            <w:pPr>
              <w:rPr>
                <w:sz w:val="20"/>
              </w:rPr>
            </w:pPr>
            <w:r w:rsidRPr="00372FE9">
              <w:rPr>
                <w:noProof/>
                <w:sz w:val="20"/>
                <w:lang w:eastAsia="en-AU"/>
              </w:rPr>
              <w:drawing>
                <wp:inline distT="0" distB="0" distL="0" distR="0" wp14:anchorId="2BF06263" wp14:editId="3FFB48C1">
                  <wp:extent cx="416966" cy="416966"/>
                  <wp:effectExtent l="0" t="0" r="2540" b="2540"/>
                  <wp:docPr id="6599"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D459E62" w14:textId="77777777" w:rsidR="00372FE9" w:rsidRPr="00372FE9" w:rsidRDefault="00372FE9" w:rsidP="00544127">
            <w:pPr>
              <w:pStyle w:val="TableText"/>
            </w:pPr>
            <w:r w:rsidRPr="00372FE9">
              <w:t>Procurement and Contract Management</w:t>
            </w:r>
          </w:p>
        </w:tc>
        <w:tc>
          <w:tcPr>
            <w:tcW w:w="4851" w:type="dxa"/>
          </w:tcPr>
          <w:p w14:paraId="32D9FB81"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6F925EE6" w14:textId="77777777" w:rsidR="00372FE9" w:rsidRPr="00372FE9" w:rsidRDefault="004C659E" w:rsidP="00544127">
            <w:pPr>
              <w:pStyle w:val="TableText"/>
            </w:pPr>
            <w:r w:rsidRPr="004C659E">
              <w:t>Foundational</w:t>
            </w:r>
          </w:p>
        </w:tc>
      </w:tr>
      <w:tr w:rsidR="00372FE9" w:rsidRPr="00372FE9" w14:paraId="5A522008" w14:textId="77777777" w:rsidTr="004C659E">
        <w:trPr>
          <w:cantSplit/>
        </w:trPr>
        <w:tc>
          <w:tcPr>
            <w:tcW w:w="1276" w:type="dxa"/>
          </w:tcPr>
          <w:p w14:paraId="50A0A19A" w14:textId="77777777" w:rsidR="00372FE9" w:rsidRPr="00372FE9" w:rsidRDefault="00372FE9" w:rsidP="00372FE9">
            <w:pPr>
              <w:rPr>
                <w:sz w:val="20"/>
              </w:rPr>
            </w:pPr>
            <w:r w:rsidRPr="00372FE9">
              <w:rPr>
                <w:noProof/>
                <w:sz w:val="20"/>
                <w:lang w:eastAsia="en-AU"/>
              </w:rPr>
              <w:drawing>
                <wp:inline distT="0" distB="0" distL="0" distR="0" wp14:anchorId="2622F752" wp14:editId="2676CB26">
                  <wp:extent cx="416966" cy="416966"/>
                  <wp:effectExtent l="0" t="0" r="2540" b="2540"/>
                  <wp:docPr id="496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D64731A" w14:textId="77777777" w:rsidR="00372FE9" w:rsidRPr="00372FE9" w:rsidRDefault="00372FE9" w:rsidP="00544127">
            <w:pPr>
              <w:pStyle w:val="TableText"/>
            </w:pPr>
            <w:r w:rsidRPr="00372FE9">
              <w:t>Project Management</w:t>
            </w:r>
          </w:p>
        </w:tc>
        <w:tc>
          <w:tcPr>
            <w:tcW w:w="4851" w:type="dxa"/>
          </w:tcPr>
          <w:p w14:paraId="51A08456" w14:textId="77777777" w:rsidR="00372FE9" w:rsidRPr="00372FE9" w:rsidRDefault="00372FE9" w:rsidP="00544127">
            <w:pPr>
              <w:pStyle w:val="TableText"/>
            </w:pPr>
            <w:r w:rsidRPr="00372FE9">
              <w:t>Understand and apply effective planning, coordination and control methods</w:t>
            </w:r>
          </w:p>
        </w:tc>
        <w:tc>
          <w:tcPr>
            <w:tcW w:w="1668" w:type="dxa"/>
          </w:tcPr>
          <w:p w14:paraId="1601B38F" w14:textId="77777777" w:rsidR="00372FE9" w:rsidRPr="00372FE9" w:rsidRDefault="004C659E" w:rsidP="00544127">
            <w:pPr>
              <w:pStyle w:val="TableText"/>
            </w:pPr>
            <w:r w:rsidRPr="004C659E">
              <w:t>Foundational</w:t>
            </w:r>
          </w:p>
        </w:tc>
      </w:tr>
      <w:bookmarkEnd w:id="6"/>
      <w:bookmarkEnd w:id="7"/>
      <w:bookmarkEnd w:id="8"/>
      <w:bookmarkEnd w:id="9"/>
    </w:tbl>
    <w:p w14:paraId="1BA3BDC2" w14:textId="77777777" w:rsidR="009E0B71" w:rsidRDefault="009E0B71" w:rsidP="001203EE">
      <w:pPr>
        <w:contextualSpacing/>
      </w:pPr>
    </w:p>
    <w:sectPr w:rsidR="009E0B71" w:rsidSect="00115AF2">
      <w:footerReference w:type="default" r:id="rId17"/>
      <w:footerReference w:type="first" r:id="rId18"/>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43211" w14:textId="77777777" w:rsidR="00645D76" w:rsidRDefault="00645D76" w:rsidP="00AC273D">
      <w:pPr>
        <w:spacing w:after="0"/>
      </w:pPr>
      <w:r>
        <w:separator/>
      </w:r>
    </w:p>
  </w:endnote>
  <w:endnote w:type="continuationSeparator" w:id="0">
    <w:p w14:paraId="7E7BF635" w14:textId="77777777" w:rsidR="00645D76" w:rsidRDefault="00645D76"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3F71" w14:textId="77777777" w:rsidR="00115AF2" w:rsidRDefault="00115AF2" w:rsidP="00F20050">
    <w:pPr>
      <w:pStyle w:val="Footer"/>
      <w:tabs>
        <w:tab w:val="clear" w:pos="4513"/>
        <w:tab w:val="center" w:pos="5103"/>
      </w:tabs>
    </w:pPr>
    <w:r w:rsidRPr="00E97E4E">
      <w:rPr>
        <w:color w:val="262626" w:themeColor="text1" w:themeTint="D9"/>
      </w:rPr>
      <w:t xml:space="preserve">Role Description </w:t>
    </w:r>
    <w:r w:rsidR="009E4A5D" w:rsidRPr="00F20050">
      <w:rPr>
        <w:color w:val="262626" w:themeColor="text1" w:themeTint="D9"/>
      </w:rPr>
      <w:t>Visitor Services Officer</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r w:rsidR="009A6687">
      <w:rPr>
        <w:noProof/>
      </w:rPr>
      <w:drawing>
        <wp:inline distT="0" distB="0" distL="0" distR="0" wp14:anchorId="7282455E" wp14:editId="0AAC099C">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60BBC25E" w14:textId="77777777" w:rsidR="00A90F97" w:rsidRPr="001E2B26" w:rsidRDefault="00A90F97" w:rsidP="00051237">
    <w:pPr>
      <w:pStyle w:val="Footer"/>
      <w:rPr>
        <w:sz w:val="12"/>
        <w:szCs w:val="12"/>
      </w:rPr>
    </w:pPr>
  </w:p>
  <w:p w14:paraId="1E1C74C8" w14:textId="77777777" w:rsidR="004210AA" w:rsidRDefault="00421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1DC7" w14:textId="77777777" w:rsidR="00115AF2" w:rsidRPr="00E97E4E" w:rsidRDefault="00115AF2" w:rsidP="00115AF2">
    <w:pPr>
      <w:pStyle w:val="Footer"/>
      <w:tabs>
        <w:tab w:val="clear" w:pos="4513"/>
        <w:tab w:val="center" w:pos="5103"/>
      </w:tabs>
      <w:rPr>
        <w:noProof/>
        <w:vanish/>
        <w:color w:val="262626" w:themeColor="text1" w:themeTint="D9"/>
        <w:lang w:eastAsia="en-AU"/>
        <w:specVanish/>
      </w:rPr>
    </w:pPr>
    <w:r w:rsidRPr="00E97E4E">
      <w:rPr>
        <w:color w:val="262626" w:themeColor="text1" w:themeTint="D9"/>
      </w:rPr>
      <w:t xml:space="preserve">Role Description </w:t>
    </w:r>
  </w:p>
  <w:p w14:paraId="31FD12BE"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04F94CDD" wp14:editId="6B066DAF">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54C4C662"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2A764" w14:textId="77777777" w:rsidR="00645D76" w:rsidRDefault="00645D76" w:rsidP="00AC273D">
      <w:pPr>
        <w:spacing w:after="0"/>
      </w:pPr>
      <w:r>
        <w:separator/>
      </w:r>
    </w:p>
  </w:footnote>
  <w:footnote w:type="continuationSeparator" w:id="0">
    <w:p w14:paraId="1BE5E64D" w14:textId="77777777" w:rsidR="00645D76" w:rsidRDefault="00645D76" w:rsidP="00AC27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327821"/>
    <w:multiLevelType w:val="hybridMultilevel"/>
    <w:tmpl w:val="A5DEA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85092748">
    <w:abstractNumId w:val="9"/>
  </w:num>
  <w:num w:numId="2" w16cid:durableId="1044788792">
    <w:abstractNumId w:val="7"/>
  </w:num>
  <w:num w:numId="3" w16cid:durableId="295919782">
    <w:abstractNumId w:val="6"/>
  </w:num>
  <w:num w:numId="4" w16cid:durableId="2055737721">
    <w:abstractNumId w:val="5"/>
  </w:num>
  <w:num w:numId="5" w16cid:durableId="956184285">
    <w:abstractNumId w:val="4"/>
  </w:num>
  <w:num w:numId="6" w16cid:durableId="118838929">
    <w:abstractNumId w:val="8"/>
  </w:num>
  <w:num w:numId="7" w16cid:durableId="30960354">
    <w:abstractNumId w:val="3"/>
  </w:num>
  <w:num w:numId="8" w16cid:durableId="1592347979">
    <w:abstractNumId w:val="2"/>
  </w:num>
  <w:num w:numId="9" w16cid:durableId="1845365299">
    <w:abstractNumId w:val="1"/>
  </w:num>
  <w:num w:numId="10" w16cid:durableId="1394158647">
    <w:abstractNumId w:val="0"/>
  </w:num>
  <w:num w:numId="11" w16cid:durableId="1750729583">
    <w:abstractNumId w:val="14"/>
  </w:num>
  <w:num w:numId="12" w16cid:durableId="496574006">
    <w:abstractNumId w:val="13"/>
  </w:num>
  <w:num w:numId="13" w16cid:durableId="217013600">
    <w:abstractNumId w:val="12"/>
  </w:num>
  <w:num w:numId="14" w16cid:durableId="1658000179">
    <w:abstractNumId w:val="10"/>
  </w:num>
  <w:num w:numId="15" w16cid:durableId="209728385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6C10"/>
    <w:rsid w:val="001B7940"/>
    <w:rsid w:val="001C0122"/>
    <w:rsid w:val="001C0E34"/>
    <w:rsid w:val="001C1B21"/>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2CD4"/>
    <w:rsid w:val="00203E4E"/>
    <w:rsid w:val="00213ED7"/>
    <w:rsid w:val="00222CC4"/>
    <w:rsid w:val="002256A0"/>
    <w:rsid w:val="002347AA"/>
    <w:rsid w:val="00237136"/>
    <w:rsid w:val="00237CFF"/>
    <w:rsid w:val="00245B8F"/>
    <w:rsid w:val="00246BFC"/>
    <w:rsid w:val="00252BF9"/>
    <w:rsid w:val="00255BBE"/>
    <w:rsid w:val="00257D27"/>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0D9C"/>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042"/>
    <w:rsid w:val="00451821"/>
    <w:rsid w:val="004522D0"/>
    <w:rsid w:val="00453376"/>
    <w:rsid w:val="004533AC"/>
    <w:rsid w:val="004536A3"/>
    <w:rsid w:val="00454B08"/>
    <w:rsid w:val="004562EC"/>
    <w:rsid w:val="0045640E"/>
    <w:rsid w:val="00456590"/>
    <w:rsid w:val="00456937"/>
    <w:rsid w:val="0045774B"/>
    <w:rsid w:val="00460C8B"/>
    <w:rsid w:val="004629AB"/>
    <w:rsid w:val="0046561D"/>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1247"/>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36235"/>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7F8"/>
    <w:rsid w:val="005F4EC6"/>
    <w:rsid w:val="005F5991"/>
    <w:rsid w:val="005F7A3D"/>
    <w:rsid w:val="00601353"/>
    <w:rsid w:val="00602728"/>
    <w:rsid w:val="00604DCB"/>
    <w:rsid w:val="00606477"/>
    <w:rsid w:val="00611642"/>
    <w:rsid w:val="00611740"/>
    <w:rsid w:val="00620CA4"/>
    <w:rsid w:val="00624400"/>
    <w:rsid w:val="00632BC3"/>
    <w:rsid w:val="0063412F"/>
    <w:rsid w:val="00634506"/>
    <w:rsid w:val="0063471B"/>
    <w:rsid w:val="00635BBB"/>
    <w:rsid w:val="006367AD"/>
    <w:rsid w:val="0064056C"/>
    <w:rsid w:val="00640B15"/>
    <w:rsid w:val="00641CB8"/>
    <w:rsid w:val="0064395B"/>
    <w:rsid w:val="00644753"/>
    <w:rsid w:val="00645B72"/>
    <w:rsid w:val="00645D76"/>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333A"/>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3602"/>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36DB"/>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45108"/>
    <w:rsid w:val="00945CBA"/>
    <w:rsid w:val="00951702"/>
    <w:rsid w:val="009562E4"/>
    <w:rsid w:val="009565EF"/>
    <w:rsid w:val="0095776A"/>
    <w:rsid w:val="0095786C"/>
    <w:rsid w:val="00957887"/>
    <w:rsid w:val="00957A8E"/>
    <w:rsid w:val="009609A1"/>
    <w:rsid w:val="009611B1"/>
    <w:rsid w:val="0096289B"/>
    <w:rsid w:val="009636D3"/>
    <w:rsid w:val="00963E83"/>
    <w:rsid w:val="00965E89"/>
    <w:rsid w:val="00967090"/>
    <w:rsid w:val="0097003B"/>
    <w:rsid w:val="00970F86"/>
    <w:rsid w:val="00972AE0"/>
    <w:rsid w:val="00972C0F"/>
    <w:rsid w:val="00972D2F"/>
    <w:rsid w:val="00973219"/>
    <w:rsid w:val="00973DCC"/>
    <w:rsid w:val="00974FBE"/>
    <w:rsid w:val="0097549F"/>
    <w:rsid w:val="00975C70"/>
    <w:rsid w:val="00976CCC"/>
    <w:rsid w:val="00980BCA"/>
    <w:rsid w:val="00982182"/>
    <w:rsid w:val="00983621"/>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8770C"/>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B583B"/>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45EF"/>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23E4"/>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3307"/>
    <w:rsid w:val="00DB4946"/>
    <w:rsid w:val="00DC006B"/>
    <w:rsid w:val="00DC18CB"/>
    <w:rsid w:val="00DC338F"/>
    <w:rsid w:val="00DC3A8C"/>
    <w:rsid w:val="00DC400E"/>
    <w:rsid w:val="00DC4999"/>
    <w:rsid w:val="00DD0F46"/>
    <w:rsid w:val="00DD1135"/>
    <w:rsid w:val="00DD1535"/>
    <w:rsid w:val="00DD15D6"/>
    <w:rsid w:val="00DD3989"/>
    <w:rsid w:val="00DD61DC"/>
    <w:rsid w:val="00DE0D10"/>
    <w:rsid w:val="00DE1E21"/>
    <w:rsid w:val="00DE405D"/>
    <w:rsid w:val="00DE54F9"/>
    <w:rsid w:val="00DE6AF8"/>
    <w:rsid w:val="00DF3DC9"/>
    <w:rsid w:val="00DF3F93"/>
    <w:rsid w:val="00DF42A4"/>
    <w:rsid w:val="00DF59CB"/>
    <w:rsid w:val="00E00477"/>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670C9"/>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4829"/>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4"/>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B762905649934387B61C574319875B" ma:contentTypeVersion="21" ma:contentTypeDescription="Create a new document." ma:contentTypeScope="" ma:versionID="3cdac3ef8708bf434a618f7597883e81">
  <xsd:schema xmlns:xsd="http://www.w3.org/2001/XMLSchema" xmlns:xs="http://www.w3.org/2001/XMLSchema" xmlns:p="http://schemas.microsoft.com/office/2006/metadata/properties" xmlns:ns1="http://schemas.microsoft.com/sharepoint/v3" xmlns:ns2="2cb9c8c1-a3f8-48df-abd6-a25523cdf4f2" xmlns:ns3="558aa24c-d1f1-4f00-9011-17f3627ae038" targetNamespace="http://schemas.microsoft.com/office/2006/metadata/properties" ma:root="true" ma:fieldsID="63b288e062b65cdf71c782e4e21dade3" ns1:_="" ns2:_="" ns3:_="">
    <xsd:import namespace="http://schemas.microsoft.com/sharepoint/v3"/>
    <xsd:import namespace="2cb9c8c1-a3f8-48df-abd6-a25523cdf4f2"/>
    <xsd:import namespace="558aa24c-d1f1-4f00-9011-17f3627ae0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_x0031_" minOccurs="0"/>
                <xsd:element ref="ns2:MediaServiceObjectDetectorVersions" minOccurs="0"/>
                <xsd:element ref="ns1:_ip_UnifiedCompliancePolicyProperties" minOccurs="0"/>
                <xsd:element ref="ns1:_ip_UnifiedCompliancePolicyUIAction"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9c8c1-a3f8-48df-abd6-a25523cdf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031_" ma:index="23" nillable="true" ma:displayName="1" ma:format="Dropdown" ma:internalName="_x0031_"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aa24c-d1f1-4f00-9011-17f3627ae0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e12abd6-6316-4232-8047-9c9e0d1b53b3}" ma:internalName="TaxCatchAll" ma:showField="CatchAllData" ma:web="558aa24c-d1f1-4f00-9011-17f3627ae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x0031_ xmlns="2cb9c8c1-a3f8-48df-abd6-a25523cdf4f2" xsi:nil="true"/>
    <_ip_UnifiedCompliancePolicyProperties xmlns="http://schemas.microsoft.com/sharepoint/v3" xsi:nil="true"/>
    <_Flow_SignoffStatus xmlns="2cb9c8c1-a3f8-48df-abd6-a25523cdf4f2" xsi:nil="true"/>
    <TaxCatchAll xmlns="558aa24c-d1f1-4f00-9011-17f3627ae038" xsi:nil="true"/>
    <lcf76f155ced4ddcb4097134ff3c332f xmlns="2cb9c8c1-a3f8-48df-abd6-a25523cdf4f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92CB0-0D90-4403-8C36-52BCB7CD5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b9c8c1-a3f8-48df-abd6-a25523cdf4f2"/>
    <ds:schemaRef ds:uri="558aa24c-d1f1-4f00-9011-17f3627ae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A3823-E35D-4D3F-BADF-D21C44FB41E4}">
  <ds:schemaRefs>
    <ds:schemaRef ds:uri="http://schemas.microsoft.com/sharepoint/v3/contenttype/forms"/>
  </ds:schemaRefs>
</ds:datastoreItem>
</file>

<file path=customXml/itemProps3.xml><?xml version="1.0" encoding="utf-8"?>
<ds:datastoreItem xmlns:ds="http://schemas.openxmlformats.org/officeDocument/2006/customXml" ds:itemID="{7B28FCF1-8E59-4C86-886A-7783E5EEFD3E}">
  <ds:schemaRefs>
    <ds:schemaRef ds:uri="http://schemas.microsoft.com/office/2006/metadata/properties"/>
    <ds:schemaRef ds:uri="http://schemas.microsoft.com/office/infopath/2007/PartnerControls"/>
    <ds:schemaRef ds:uri="http://schemas.microsoft.com/sharepoint/v3"/>
    <ds:schemaRef ds:uri="2cb9c8c1-a3f8-48df-abd6-a25523cdf4f2"/>
    <ds:schemaRef ds:uri="558aa24c-d1f1-4f00-9011-17f3627ae038"/>
  </ds:schemaRefs>
</ds:datastoreItem>
</file>

<file path=customXml/itemProps4.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1690</Words>
  <Characters>9635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Olivia Middleton</cp:lastModifiedBy>
  <cp:revision>2</cp:revision>
  <cp:lastPrinted>2021-06-07T04:46:00Z</cp:lastPrinted>
  <dcterms:created xsi:type="dcterms:W3CDTF">2025-03-12T01:57:00Z</dcterms:created>
  <dcterms:modified xsi:type="dcterms:W3CDTF">2025-03-12T01:57:00Z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0x010100C5B762905649934387B61C574319875B</vt:lpwstr>
  </property>
</Properties>
</file>