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4C70DBC" w14:textId="578BFB5D" w:rsidR="00D64474" w:rsidRPr="000C453F" w:rsidRDefault="00D64474" w:rsidP="00D64474">
      <w:pPr>
        <w:pStyle w:val="Heading1"/>
        <w:tabs>
          <w:tab w:val="left" w:pos="720"/>
          <w:tab w:val="left" w:pos="1440"/>
          <w:tab w:val="left" w:pos="2160"/>
          <w:tab w:val="left" w:pos="2880"/>
          <w:tab w:val="left" w:pos="3600"/>
          <w:tab w:val="right" w:pos="10348"/>
        </w:tabs>
      </w:pPr>
      <w:r w:rsidRPr="000C453F">
        <w:t>Role Description</w:t>
      </w:r>
      <w:r w:rsidR="00851276">
        <w:rPr>
          <w:b w:val="0"/>
          <w:bCs w:val="0"/>
          <w:noProof/>
        </w:rPr>
        <w:drawing>
          <wp:anchor distT="0" distB="0" distL="114300" distR="114300" simplePos="0" relativeHeight="251658240" behindDoc="0" locked="0" layoutInCell="1" allowOverlap="1" wp14:anchorId="303704FD" wp14:editId="2ACF5D0D">
            <wp:simplePos x="2571750" y="647700"/>
            <wp:positionH relativeFrom="margin">
              <wp:align>right</wp:align>
            </wp:positionH>
            <wp:positionV relativeFrom="margin">
              <wp:align>top</wp:align>
            </wp:positionV>
            <wp:extent cx="80962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57250"/>
                    </a:xfrm>
                    <a:prstGeom prst="rect">
                      <a:avLst/>
                    </a:prstGeom>
                    <a:noFill/>
                    <a:ln>
                      <a:noFill/>
                    </a:ln>
                  </pic:spPr>
                </pic:pic>
              </a:graphicData>
            </a:graphic>
          </wp:anchor>
        </w:drawing>
      </w:r>
    </w:p>
    <w:p w14:paraId="4366D41E" w14:textId="2051F55B" w:rsidR="00D64474" w:rsidRDefault="00596C52" w:rsidP="00076EAB">
      <w:pPr>
        <w:pStyle w:val="Heading1"/>
        <w:tabs>
          <w:tab w:val="right" w:pos="10206"/>
        </w:tabs>
        <w:spacing w:after="120"/>
      </w:pPr>
      <w:r>
        <w:t xml:space="preserve">Executive Director </w:t>
      </w:r>
      <w:r w:rsidR="00961D81">
        <w:t xml:space="preserve">Climate Change </w:t>
      </w:r>
      <w:r w:rsidR="00467C54">
        <w:t xml:space="preserve">and </w:t>
      </w:r>
      <w:r w:rsidR="00851276">
        <w:t>Strategy</w:t>
      </w:r>
    </w:p>
    <w:p w14:paraId="21348EB7" w14:textId="77777777" w:rsidR="002A6833" w:rsidRPr="00076EAB" w:rsidRDefault="002A6833" w:rsidP="002A6833"/>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1505EB" w:rsidRPr="00C978B9" w14:paraId="25A94A25" w14:textId="77777777" w:rsidTr="001505EB">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7853B820" w14:textId="77777777" w:rsidR="001505EB" w:rsidRPr="00C90657" w:rsidRDefault="001505EB" w:rsidP="001505EB">
            <w:pPr>
              <w:pStyle w:val="TableTextWhite"/>
              <w:rPr>
                <w:b/>
              </w:rPr>
            </w:pPr>
            <w:r>
              <w:rPr>
                <w:b/>
              </w:rPr>
              <w:t>Role Description Fields</w:t>
            </w:r>
          </w:p>
        </w:tc>
        <w:tc>
          <w:tcPr>
            <w:tcW w:w="6530" w:type="dxa"/>
            <w:shd w:val="clear" w:color="auto" w:fill="000000" w:themeFill="text1"/>
          </w:tcPr>
          <w:p w14:paraId="3ECBA5ED" w14:textId="77777777" w:rsidR="001505EB" w:rsidRPr="00C90657" w:rsidRDefault="001505EB" w:rsidP="001505EB">
            <w:pPr>
              <w:pStyle w:val="TableTextWhite"/>
              <w:rPr>
                <w:b/>
              </w:rPr>
            </w:pPr>
            <w:r>
              <w:rPr>
                <w:b/>
              </w:rPr>
              <w:t>Details</w:t>
            </w:r>
          </w:p>
        </w:tc>
      </w:tr>
      <w:tr w:rsidR="001505EB" w:rsidRPr="00C978B9" w14:paraId="54E3394F" w14:textId="77777777" w:rsidTr="001505EB">
        <w:trPr>
          <w:cantSplit/>
        </w:trPr>
        <w:tc>
          <w:tcPr>
            <w:tcW w:w="4026" w:type="dxa"/>
            <w:vAlign w:val="center"/>
          </w:tcPr>
          <w:p w14:paraId="6A8E2722" w14:textId="77777777" w:rsidR="001505EB" w:rsidRPr="00853F21" w:rsidRDefault="001505EB" w:rsidP="001505EB">
            <w:pPr>
              <w:pStyle w:val="TableTextWhite"/>
              <w:rPr>
                <w:b/>
              </w:rPr>
            </w:pPr>
            <w:r w:rsidRPr="00853F21">
              <w:rPr>
                <w:b/>
              </w:rPr>
              <w:t>Cluster</w:t>
            </w:r>
          </w:p>
        </w:tc>
        <w:tc>
          <w:tcPr>
            <w:tcW w:w="6530" w:type="dxa"/>
          </w:tcPr>
          <w:p w14:paraId="6A803E4E" w14:textId="67079113" w:rsidR="001505EB" w:rsidRPr="00851276" w:rsidRDefault="002C22BD" w:rsidP="001505EB">
            <w:pPr>
              <w:pStyle w:val="TableTextWhite"/>
              <w:rPr>
                <w:b/>
              </w:rPr>
            </w:pPr>
            <w:r w:rsidRPr="00851276">
              <w:rPr>
                <w:b/>
              </w:rPr>
              <w:t>Environment, Climate Change, Energy &amp; Water</w:t>
            </w:r>
          </w:p>
        </w:tc>
      </w:tr>
      <w:tr w:rsidR="001505EB" w:rsidRPr="00C978B9" w14:paraId="66FEB3CC" w14:textId="77777777" w:rsidTr="001505EB">
        <w:trPr>
          <w:cantSplit/>
        </w:trPr>
        <w:tc>
          <w:tcPr>
            <w:tcW w:w="4026" w:type="dxa"/>
            <w:vAlign w:val="center"/>
          </w:tcPr>
          <w:p w14:paraId="2C1A7905" w14:textId="77777777" w:rsidR="001505EB" w:rsidRPr="00853F21" w:rsidRDefault="001505EB" w:rsidP="001505EB">
            <w:pPr>
              <w:pStyle w:val="TableTextWhite"/>
              <w:rPr>
                <w:b/>
              </w:rPr>
            </w:pPr>
            <w:bookmarkStart w:id="0" w:name="DeptAgency"/>
            <w:bookmarkEnd w:id="0"/>
            <w:r w:rsidRPr="00853F21">
              <w:rPr>
                <w:b/>
              </w:rPr>
              <w:t>Department/Agency</w:t>
            </w:r>
          </w:p>
        </w:tc>
        <w:tc>
          <w:tcPr>
            <w:tcW w:w="6530" w:type="dxa"/>
          </w:tcPr>
          <w:p w14:paraId="0EA18F2F" w14:textId="77777777" w:rsidR="001505EB" w:rsidRPr="00851276" w:rsidRDefault="001505EB" w:rsidP="001505EB">
            <w:pPr>
              <w:pStyle w:val="TableTextWhite"/>
              <w:rPr>
                <w:b/>
              </w:rPr>
            </w:pPr>
            <w:r w:rsidRPr="00851276">
              <w:rPr>
                <w:b/>
              </w:rPr>
              <w:t>Department of Environment, Climate Change, Energy &amp; Water (DCCEEW)</w:t>
            </w:r>
          </w:p>
        </w:tc>
      </w:tr>
      <w:tr w:rsidR="001505EB" w:rsidRPr="00C978B9" w14:paraId="2A054170" w14:textId="77777777" w:rsidTr="001505EB">
        <w:trPr>
          <w:cantSplit/>
        </w:trPr>
        <w:tc>
          <w:tcPr>
            <w:tcW w:w="4026" w:type="dxa"/>
            <w:vAlign w:val="center"/>
          </w:tcPr>
          <w:p w14:paraId="54447C04" w14:textId="77777777" w:rsidR="001505EB" w:rsidRPr="00853F21" w:rsidRDefault="001505EB" w:rsidP="001505EB">
            <w:pPr>
              <w:pStyle w:val="TableTextWhite"/>
              <w:rPr>
                <w:b/>
              </w:rPr>
            </w:pPr>
            <w:r w:rsidRPr="00853F21">
              <w:rPr>
                <w:b/>
              </w:rPr>
              <w:t>Division/Branch/Unit</w:t>
            </w:r>
          </w:p>
        </w:tc>
        <w:tc>
          <w:tcPr>
            <w:tcW w:w="6530" w:type="dxa"/>
          </w:tcPr>
          <w:p w14:paraId="6256764D" w14:textId="033E67CC" w:rsidR="001505EB" w:rsidRPr="00851276" w:rsidRDefault="00851276" w:rsidP="001505EB">
            <w:pPr>
              <w:pStyle w:val="TableTextWhite"/>
              <w:rPr>
                <w:b/>
              </w:rPr>
            </w:pPr>
            <w:r w:rsidRPr="00851276">
              <w:rPr>
                <w:b/>
              </w:rPr>
              <w:t xml:space="preserve">Energy, Climate Change and Sustainability (ECCS) </w:t>
            </w:r>
            <w:r>
              <w:rPr>
                <w:b/>
              </w:rPr>
              <w:t xml:space="preserve">/ </w:t>
            </w:r>
            <w:r w:rsidR="00AC5A69">
              <w:rPr>
                <w:b/>
              </w:rPr>
              <w:t>Climate Change</w:t>
            </w:r>
            <w:r w:rsidR="001505EB" w:rsidRPr="00851276">
              <w:rPr>
                <w:b/>
              </w:rPr>
              <w:t xml:space="preserve"> and Strategy Division</w:t>
            </w:r>
          </w:p>
        </w:tc>
      </w:tr>
      <w:tr w:rsidR="001505EB" w:rsidRPr="00C978B9" w14:paraId="31A473A6" w14:textId="77777777" w:rsidTr="001505EB">
        <w:trPr>
          <w:cantSplit/>
        </w:trPr>
        <w:tc>
          <w:tcPr>
            <w:tcW w:w="4026" w:type="dxa"/>
            <w:vAlign w:val="center"/>
          </w:tcPr>
          <w:p w14:paraId="26AC3AE2" w14:textId="77777777" w:rsidR="001505EB" w:rsidRPr="00853F21" w:rsidRDefault="001505EB" w:rsidP="001505EB">
            <w:pPr>
              <w:pStyle w:val="TableTextWhite"/>
              <w:rPr>
                <w:b/>
              </w:rPr>
            </w:pPr>
            <w:r w:rsidRPr="004A3696">
              <w:rPr>
                <w:b/>
              </w:rPr>
              <w:t>Role number</w:t>
            </w:r>
          </w:p>
        </w:tc>
        <w:tc>
          <w:tcPr>
            <w:tcW w:w="6530" w:type="dxa"/>
          </w:tcPr>
          <w:p w14:paraId="385BB7BC" w14:textId="0C20B862" w:rsidR="001505EB" w:rsidRPr="00851276" w:rsidRDefault="00961D81" w:rsidP="001505EB">
            <w:pPr>
              <w:pStyle w:val="TableTextWhite"/>
              <w:rPr>
                <w:b/>
              </w:rPr>
            </w:pPr>
            <w:r w:rsidRPr="001123D7">
              <w:rPr>
                <w:b/>
                <w:bCs/>
              </w:rPr>
              <w:t>51009812</w:t>
            </w:r>
          </w:p>
        </w:tc>
      </w:tr>
      <w:tr w:rsidR="001505EB" w:rsidRPr="00C978B9" w14:paraId="1577B4CA" w14:textId="77777777" w:rsidTr="001505EB">
        <w:trPr>
          <w:cantSplit/>
        </w:trPr>
        <w:tc>
          <w:tcPr>
            <w:tcW w:w="4026" w:type="dxa"/>
            <w:vAlign w:val="center"/>
          </w:tcPr>
          <w:p w14:paraId="0CF584AB" w14:textId="77777777" w:rsidR="001505EB" w:rsidRPr="00853F21" w:rsidRDefault="001505EB" w:rsidP="001505EB">
            <w:pPr>
              <w:pStyle w:val="TableTextWhite"/>
              <w:rPr>
                <w:b/>
                <w:color w:val="000000"/>
              </w:rPr>
            </w:pPr>
            <w:r w:rsidRPr="00853F21">
              <w:rPr>
                <w:b/>
              </w:rPr>
              <w:t>Classification/Grade/Band</w:t>
            </w:r>
          </w:p>
        </w:tc>
        <w:tc>
          <w:tcPr>
            <w:tcW w:w="6530" w:type="dxa"/>
          </w:tcPr>
          <w:p w14:paraId="41EF5409" w14:textId="77777777" w:rsidR="001505EB" w:rsidRPr="00851276" w:rsidRDefault="001505EB" w:rsidP="001505EB">
            <w:pPr>
              <w:pStyle w:val="TableTextWhite"/>
              <w:rPr>
                <w:b/>
              </w:rPr>
            </w:pPr>
            <w:r w:rsidRPr="00851276">
              <w:rPr>
                <w:b/>
              </w:rPr>
              <w:t>Band 2</w:t>
            </w:r>
          </w:p>
        </w:tc>
      </w:tr>
      <w:tr w:rsidR="001505EB" w:rsidRPr="00C978B9" w14:paraId="1E67F8DD" w14:textId="77777777" w:rsidTr="001505EB">
        <w:trPr>
          <w:cantSplit/>
        </w:trPr>
        <w:tc>
          <w:tcPr>
            <w:tcW w:w="4026" w:type="dxa"/>
            <w:vAlign w:val="center"/>
          </w:tcPr>
          <w:p w14:paraId="2C5F62DB" w14:textId="77777777" w:rsidR="001505EB" w:rsidRPr="00853F21" w:rsidRDefault="001505EB" w:rsidP="001505EB">
            <w:pPr>
              <w:pStyle w:val="TableTextWhite"/>
              <w:rPr>
                <w:b/>
              </w:rPr>
            </w:pPr>
            <w:r w:rsidRPr="004A3696">
              <w:rPr>
                <w:b/>
              </w:rPr>
              <w:t>Senior executive work level standards</w:t>
            </w:r>
          </w:p>
        </w:tc>
        <w:tc>
          <w:tcPr>
            <w:tcW w:w="6530" w:type="dxa"/>
          </w:tcPr>
          <w:p w14:paraId="62602B3F" w14:textId="0023B16D" w:rsidR="001505EB" w:rsidRPr="00851276" w:rsidRDefault="00851276" w:rsidP="001505EB">
            <w:pPr>
              <w:pStyle w:val="TableTextWhite"/>
              <w:rPr>
                <w:b/>
              </w:rPr>
            </w:pPr>
            <w:r w:rsidRPr="00851276">
              <w:rPr>
                <w:b/>
              </w:rPr>
              <w:t xml:space="preserve">Work Contribution Stream: </w:t>
            </w:r>
            <w:r w:rsidR="00DE6645">
              <w:rPr>
                <w:b/>
              </w:rPr>
              <w:t>Policy</w:t>
            </w:r>
          </w:p>
        </w:tc>
      </w:tr>
      <w:tr w:rsidR="001505EB" w:rsidRPr="00C978B9" w14:paraId="13536532" w14:textId="77777777" w:rsidTr="001505EB">
        <w:trPr>
          <w:cantSplit/>
        </w:trPr>
        <w:tc>
          <w:tcPr>
            <w:tcW w:w="4026" w:type="dxa"/>
            <w:vAlign w:val="center"/>
          </w:tcPr>
          <w:p w14:paraId="15C2FC1F" w14:textId="77777777" w:rsidR="001505EB" w:rsidRPr="00853F21" w:rsidRDefault="001505EB" w:rsidP="001505EB">
            <w:pPr>
              <w:pStyle w:val="TableTextWhite"/>
              <w:rPr>
                <w:b/>
                <w:color w:val="000000"/>
              </w:rPr>
            </w:pPr>
            <w:r w:rsidRPr="00853F21">
              <w:rPr>
                <w:b/>
              </w:rPr>
              <w:t>ANZSCO Code</w:t>
            </w:r>
          </w:p>
        </w:tc>
        <w:tc>
          <w:tcPr>
            <w:tcW w:w="6530" w:type="dxa"/>
          </w:tcPr>
          <w:p w14:paraId="744EEFD3" w14:textId="3F0E10B9" w:rsidR="001505EB" w:rsidRPr="00851276" w:rsidRDefault="004D29AF" w:rsidP="001505EB">
            <w:pPr>
              <w:pStyle w:val="TableTextWhite"/>
              <w:rPr>
                <w:b/>
              </w:rPr>
            </w:pPr>
            <w:r>
              <w:rPr>
                <w:b/>
              </w:rPr>
              <w:t>11</w:t>
            </w:r>
            <w:r w:rsidR="00DA4E8E">
              <w:rPr>
                <w:b/>
              </w:rPr>
              <w:t>1211</w:t>
            </w:r>
          </w:p>
        </w:tc>
      </w:tr>
      <w:tr w:rsidR="001505EB" w:rsidRPr="00C978B9" w14:paraId="326E6E65" w14:textId="77777777" w:rsidTr="001505EB">
        <w:trPr>
          <w:cantSplit/>
        </w:trPr>
        <w:tc>
          <w:tcPr>
            <w:tcW w:w="4026" w:type="dxa"/>
            <w:vAlign w:val="center"/>
          </w:tcPr>
          <w:p w14:paraId="015DE63E" w14:textId="77777777" w:rsidR="001505EB" w:rsidRPr="00853F21" w:rsidRDefault="001505EB" w:rsidP="001505EB">
            <w:pPr>
              <w:pStyle w:val="TableTextWhite"/>
              <w:rPr>
                <w:b/>
                <w:color w:val="000000"/>
              </w:rPr>
            </w:pPr>
            <w:r w:rsidRPr="00853F21">
              <w:rPr>
                <w:b/>
              </w:rPr>
              <w:t>PCAT Code</w:t>
            </w:r>
          </w:p>
        </w:tc>
        <w:tc>
          <w:tcPr>
            <w:tcW w:w="6530" w:type="dxa"/>
          </w:tcPr>
          <w:p w14:paraId="0A56790C" w14:textId="6E150519" w:rsidR="001505EB" w:rsidRPr="00851276" w:rsidRDefault="00851276" w:rsidP="001505EB">
            <w:pPr>
              <w:pStyle w:val="TableTextWhite"/>
              <w:rPr>
                <w:b/>
              </w:rPr>
            </w:pPr>
            <w:r w:rsidRPr="00851276">
              <w:rPr>
                <w:b/>
              </w:rPr>
              <w:t>2319192</w:t>
            </w:r>
          </w:p>
        </w:tc>
      </w:tr>
      <w:tr w:rsidR="001505EB" w:rsidRPr="00C978B9" w14:paraId="75944098" w14:textId="77777777" w:rsidTr="001505EB">
        <w:trPr>
          <w:cantSplit/>
        </w:trPr>
        <w:tc>
          <w:tcPr>
            <w:tcW w:w="4026" w:type="dxa"/>
            <w:vAlign w:val="center"/>
          </w:tcPr>
          <w:p w14:paraId="518DDE09" w14:textId="77777777" w:rsidR="001505EB" w:rsidRPr="00853F21" w:rsidRDefault="001505EB" w:rsidP="001505EB">
            <w:pPr>
              <w:pStyle w:val="TableTextWhite"/>
              <w:rPr>
                <w:b/>
                <w:color w:val="000000"/>
              </w:rPr>
            </w:pPr>
            <w:r w:rsidRPr="00853F21">
              <w:rPr>
                <w:b/>
              </w:rPr>
              <w:t>Date of Approval</w:t>
            </w:r>
          </w:p>
        </w:tc>
        <w:tc>
          <w:tcPr>
            <w:tcW w:w="6530" w:type="dxa"/>
          </w:tcPr>
          <w:p w14:paraId="4A8BF073" w14:textId="7B13E045" w:rsidR="001505EB" w:rsidRPr="00851276" w:rsidRDefault="002C22BD" w:rsidP="001505EB">
            <w:pPr>
              <w:pStyle w:val="TableTextWhite"/>
              <w:rPr>
                <w:b/>
              </w:rPr>
            </w:pPr>
            <w:r w:rsidRPr="00851276">
              <w:rPr>
                <w:b/>
              </w:rPr>
              <w:t>October 2024</w:t>
            </w:r>
            <w:r w:rsidR="001123D7">
              <w:rPr>
                <w:b/>
              </w:rPr>
              <w:t>, updated May 2025</w:t>
            </w:r>
          </w:p>
        </w:tc>
      </w:tr>
      <w:tr w:rsidR="001505EB" w:rsidRPr="00C978B9" w14:paraId="64B9E9F8" w14:textId="77777777" w:rsidTr="001505EB">
        <w:trPr>
          <w:cantSplit/>
        </w:trPr>
        <w:tc>
          <w:tcPr>
            <w:tcW w:w="4026" w:type="dxa"/>
            <w:vAlign w:val="center"/>
          </w:tcPr>
          <w:p w14:paraId="537EF8BC" w14:textId="77777777" w:rsidR="001505EB" w:rsidRPr="00853F21" w:rsidRDefault="001505EB" w:rsidP="001505EB">
            <w:pPr>
              <w:pStyle w:val="TableTextWhite"/>
              <w:rPr>
                <w:b/>
              </w:rPr>
            </w:pPr>
            <w:r w:rsidRPr="004A3696">
              <w:rPr>
                <w:b/>
              </w:rPr>
              <w:t>Agency Website</w:t>
            </w:r>
          </w:p>
        </w:tc>
        <w:tc>
          <w:tcPr>
            <w:tcW w:w="6530" w:type="dxa"/>
          </w:tcPr>
          <w:p w14:paraId="49192554" w14:textId="77777777" w:rsidR="001505EB" w:rsidRPr="00851276" w:rsidRDefault="001505EB" w:rsidP="001505EB">
            <w:pPr>
              <w:pStyle w:val="TableTextWhite"/>
              <w:rPr>
                <w:b/>
              </w:rPr>
            </w:pPr>
            <w:hyperlink r:id="rId12" w:history="1">
              <w:r w:rsidRPr="00851276">
                <w:rPr>
                  <w:rStyle w:val="Hyperlink"/>
                  <w:b/>
                </w:rPr>
                <w:t>https://www.nsw.gov.au/departments-and-agencies/dcceew</w:t>
              </w:r>
            </w:hyperlink>
            <w:r w:rsidRPr="00851276">
              <w:rPr>
                <w:b/>
              </w:rPr>
              <w:t xml:space="preserve"> </w:t>
            </w:r>
          </w:p>
        </w:tc>
      </w:tr>
    </w:tbl>
    <w:p w14:paraId="4B51C2DC" w14:textId="77777777" w:rsidR="009864EC" w:rsidRPr="00303DDB" w:rsidRDefault="002A6833" w:rsidP="009864EC">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i/>
          <w:iCs/>
          <w:sz w:val="22"/>
          <w:szCs w:val="22"/>
          <w:lang w:val="en-US"/>
        </w:rPr>
        <w:t>Ensuring a sustainable NSW through climate change and energy action, water management, environment and heritage conservation and protection. </w:t>
      </w:r>
      <w:r>
        <w:rPr>
          <w:rStyle w:val="eop"/>
          <w:rFonts w:ascii="Arial" w:hAnsi="Arial" w:cs="Arial"/>
          <w:sz w:val="22"/>
          <w:szCs w:val="22"/>
        </w:rPr>
        <w:t> </w:t>
      </w:r>
    </w:p>
    <w:p w14:paraId="1AAD3DC0" w14:textId="77777777" w:rsidR="009864EC" w:rsidRPr="00303DDB" w:rsidRDefault="009864EC" w:rsidP="00303DDB">
      <w:pPr>
        <w:pStyle w:val="Heading2"/>
      </w:pPr>
      <w:r w:rsidRPr="00303DDB">
        <w:t>Who we are</w:t>
      </w:r>
      <w:r>
        <w:rPr>
          <w:rStyle w:val="eop"/>
          <w:szCs w:val="26"/>
        </w:rPr>
        <w:t> </w:t>
      </w:r>
    </w:p>
    <w:p w14:paraId="0326C1B3" w14:textId="77777777" w:rsidR="009864EC" w:rsidRPr="00901CCD" w:rsidRDefault="009864EC" w:rsidP="00303DDB">
      <w:pPr>
        <w:rPr>
          <w:szCs w:val="22"/>
        </w:rPr>
      </w:pPr>
      <w:r>
        <w:rPr>
          <w:rStyle w:val="normaltextrun"/>
          <w:rFonts w:cs="Arial"/>
          <w:szCs w:val="22"/>
          <w:lang w:val="en-US"/>
        </w:rPr>
        <w:t xml:space="preserve">The NSW Department of Climate Change, Energy, the Environment and Water (DCCEEW) works to protect </w:t>
      </w:r>
      <w:r w:rsidRPr="00901CCD">
        <w:t>the state’s environment and heritage. It leads the way on climate change, driving the sustainable transition to a net zero economy, powered by affordable, reliable, and clean energy.   </w:t>
      </w:r>
    </w:p>
    <w:p w14:paraId="00E1A66E" w14:textId="77777777" w:rsidR="009864EC" w:rsidRPr="00901CCD" w:rsidRDefault="009864EC" w:rsidP="00303DDB">
      <w:pPr>
        <w:rPr>
          <w:szCs w:val="22"/>
        </w:rPr>
      </w:pPr>
      <w:r w:rsidRPr="00901CCD">
        <w:t>DCCEEW conserves and protects the state’s natural environment. It manages the NSW national park estate, including its rich and diverse biodiversity and Aboriginal cultural heritage for future generations.  </w:t>
      </w:r>
    </w:p>
    <w:p w14:paraId="6BBA787E" w14:textId="77777777" w:rsidR="009864EC" w:rsidRPr="00901CCD" w:rsidRDefault="009864EC" w:rsidP="00303DDB">
      <w:pPr>
        <w:rPr>
          <w:szCs w:val="22"/>
        </w:rPr>
      </w:pPr>
      <w:r w:rsidRPr="00901CCD">
        <w:t>DCCEEW also ensures sustainable management of water resources across the state, to support the environment, communities and industry.  </w:t>
      </w:r>
    </w:p>
    <w:p w14:paraId="6BAD62E4" w14:textId="77777777" w:rsidR="009864EC" w:rsidRDefault="009864EC" w:rsidP="00303DDB">
      <w:pPr>
        <w:rPr>
          <w:rStyle w:val="normaltextrun"/>
          <w:rFonts w:cs="Arial"/>
          <w:szCs w:val="22"/>
          <w:lang w:val="en-US"/>
        </w:rPr>
      </w:pPr>
      <w:r w:rsidRPr="00901CCD">
        <w:t>We acknowledge the ongoing custodial responsibilities of the Aboriginal peoples of NSW to care for Country and water and are committed to establishing meaningful partnerships with Aboriginal peoples in the management of the</w:t>
      </w:r>
      <w:r>
        <w:rPr>
          <w:rStyle w:val="normaltextrun"/>
          <w:rFonts w:cs="Arial"/>
          <w:szCs w:val="22"/>
          <w:lang w:val="en-US"/>
        </w:rPr>
        <w:t xml:space="preserve"> environment.</w:t>
      </w:r>
    </w:p>
    <w:p w14:paraId="139C5647" w14:textId="77777777" w:rsidR="004A3696" w:rsidRPr="00EA68D4" w:rsidRDefault="004A3696" w:rsidP="004A3696">
      <w:pPr>
        <w:pStyle w:val="Heading2"/>
      </w:pPr>
      <w:bookmarkStart w:id="1" w:name="_Hlk30003721"/>
      <w:r w:rsidRPr="00EA68D4">
        <w:t>Primary purpose of the role</w:t>
      </w:r>
    </w:p>
    <w:bookmarkEnd w:id="1"/>
    <w:p w14:paraId="01D1F667" w14:textId="5E4E2EB7" w:rsidR="00AC5A69" w:rsidRPr="00AC5A69" w:rsidRDefault="006D21F1" w:rsidP="00AC5A69">
      <w:pPr>
        <w:rPr>
          <w:i/>
          <w:iCs/>
          <w:szCs w:val="22"/>
        </w:rPr>
      </w:pPr>
      <w:r w:rsidRPr="00EA68D4">
        <w:rPr>
          <w:szCs w:val="22"/>
          <w:lang w:val="en-GB"/>
        </w:rPr>
        <w:t xml:space="preserve">The Executive Director </w:t>
      </w:r>
      <w:r w:rsidR="00961D81">
        <w:rPr>
          <w:szCs w:val="22"/>
          <w:lang w:val="en-GB"/>
        </w:rPr>
        <w:t>Climate Change</w:t>
      </w:r>
      <w:r w:rsidRPr="00EA68D4">
        <w:rPr>
          <w:szCs w:val="22"/>
          <w:lang w:val="en-GB"/>
        </w:rPr>
        <w:t xml:space="preserve"> and Strategy </w:t>
      </w:r>
      <w:r w:rsidR="00AC5A69" w:rsidRPr="00AC5A69">
        <w:t>leads the cross-sector initiatives and strategic policy development to ensure government anticipates and addresses emerging issues in the transition to net zero and building resilience to climate change. The role provides high level strategic advice to the Minister, Secretary and Deputy Secretary to inform decision making, planning and evaluation of inter-agency, inter-government and cross-sectoral initiatives and strategic policies, and builds relationships with other government agencies and industry partners.</w:t>
      </w:r>
    </w:p>
    <w:p w14:paraId="5A917F00" w14:textId="557A8563" w:rsidR="000925CA" w:rsidRPr="00EA68D4" w:rsidRDefault="000925CA" w:rsidP="000925CA">
      <w:pPr>
        <w:rPr>
          <w:szCs w:val="22"/>
          <w:lang w:val="en-GB"/>
        </w:rPr>
      </w:pPr>
    </w:p>
    <w:p w14:paraId="64015203" w14:textId="77777777" w:rsidR="00057CB3" w:rsidRPr="00980BCA" w:rsidRDefault="00057CB3" w:rsidP="000C453F">
      <w:pPr>
        <w:pStyle w:val="Heading2"/>
      </w:pPr>
      <w:r w:rsidRPr="00980BCA">
        <w:lastRenderedPageBreak/>
        <w:t xml:space="preserve">Key </w:t>
      </w:r>
      <w:r w:rsidR="00043B92" w:rsidRPr="00980BCA">
        <w:t>a</w:t>
      </w:r>
      <w:r w:rsidRPr="00980BCA">
        <w:t>ccountabilities</w:t>
      </w:r>
    </w:p>
    <w:p w14:paraId="46124D15" w14:textId="585BFF01" w:rsidR="0006012A" w:rsidRPr="004E5B5A" w:rsidRDefault="000925CA" w:rsidP="00BF7984">
      <w:pPr>
        <w:pStyle w:val="ListParagraph"/>
        <w:numPr>
          <w:ilvl w:val="0"/>
          <w:numId w:val="38"/>
        </w:numPr>
        <w:tabs>
          <w:tab w:val="left" w:pos="2925"/>
        </w:tabs>
      </w:pPr>
      <w:r>
        <w:t xml:space="preserve">Oversee </w:t>
      </w:r>
      <w:r w:rsidR="009961AC">
        <w:t xml:space="preserve">the provision of </w:t>
      </w:r>
      <w:proofErr w:type="gramStart"/>
      <w:r w:rsidR="009961AC">
        <w:t>high</w:t>
      </w:r>
      <w:r w:rsidR="00DE7835">
        <w:rPr>
          <w:szCs w:val="22"/>
        </w:rPr>
        <w:t xml:space="preserve"> </w:t>
      </w:r>
      <w:r w:rsidR="009961AC">
        <w:t>quality</w:t>
      </w:r>
      <w:proofErr w:type="gramEnd"/>
      <w:r w:rsidR="009961AC">
        <w:t xml:space="preserve"> analysis and advice including modelling, frameworks, evaluation and reporting to ensure the </w:t>
      </w:r>
      <w:r w:rsidR="0074317A">
        <w:t>Minister is supported to make strategic decisions</w:t>
      </w:r>
      <w:r w:rsidR="00EE67B9">
        <w:t xml:space="preserve">, including providing secretariat and strategic support to the Minister in cross-government and cross-agency forums such as the Energy </w:t>
      </w:r>
      <w:r w:rsidR="00073CAA">
        <w:t>and</w:t>
      </w:r>
      <w:r w:rsidR="00EE67B9">
        <w:t xml:space="preserve"> Climate Minister</w:t>
      </w:r>
      <w:r w:rsidR="00073CAA">
        <w:t>ial</w:t>
      </w:r>
      <w:r w:rsidR="00EE67B9">
        <w:t xml:space="preserve"> Council</w:t>
      </w:r>
    </w:p>
    <w:p w14:paraId="2FB887D3" w14:textId="6BC1573D" w:rsidR="009961AC" w:rsidRPr="009961AC" w:rsidRDefault="000D68CE" w:rsidP="00BF7984">
      <w:pPr>
        <w:pStyle w:val="ListParagraph"/>
        <w:numPr>
          <w:ilvl w:val="0"/>
          <w:numId w:val="38"/>
        </w:numPr>
        <w:tabs>
          <w:tab w:val="left" w:pos="2925"/>
        </w:tabs>
      </w:pPr>
      <w:r>
        <w:t xml:space="preserve">Lead and </w:t>
      </w:r>
      <w:r w:rsidR="00D0543A">
        <w:t xml:space="preserve">coordinate </w:t>
      </w:r>
      <w:r w:rsidR="00104D9A" w:rsidRPr="00104D9A">
        <w:t>inter-agency, inter-government and cross-sectoral initiatives</w:t>
      </w:r>
      <w:r w:rsidR="00BF38D6">
        <w:t>,</w:t>
      </w:r>
      <w:r w:rsidR="0055798E">
        <w:t xml:space="preserve"> </w:t>
      </w:r>
      <w:r w:rsidR="002414FF">
        <w:t xml:space="preserve">working </w:t>
      </w:r>
      <w:r w:rsidR="00BF38D6">
        <w:t xml:space="preserve">in collaboration with other members of the ECCS leadership team to ensure </w:t>
      </w:r>
      <w:r w:rsidR="0055798E">
        <w:t>the agency is effectively represented</w:t>
      </w:r>
      <w:r w:rsidR="00E23CBB">
        <w:t>, effort is prioritised and synergies across program areas are achieved</w:t>
      </w:r>
      <w:r w:rsidR="00D45EC6">
        <w:t xml:space="preserve"> within the Department and with other agencies</w:t>
      </w:r>
    </w:p>
    <w:p w14:paraId="298A2665" w14:textId="155790E7" w:rsidR="009960C2" w:rsidRDefault="009960C2" w:rsidP="00BF7984">
      <w:pPr>
        <w:pStyle w:val="ListParagraph"/>
        <w:numPr>
          <w:ilvl w:val="0"/>
          <w:numId w:val="38"/>
        </w:numPr>
        <w:tabs>
          <w:tab w:val="left" w:pos="2925"/>
        </w:tabs>
      </w:pPr>
      <w:r w:rsidRPr="00A14CE8">
        <w:t xml:space="preserve">Represent </w:t>
      </w:r>
      <w:r w:rsidR="00895E95">
        <w:t>DCCEEW</w:t>
      </w:r>
      <w:r w:rsidRPr="00A14CE8">
        <w:t xml:space="preserve"> </w:t>
      </w:r>
      <w:r w:rsidR="00895E95">
        <w:t>by leading and directing</w:t>
      </w:r>
      <w:r w:rsidRPr="00A14CE8">
        <w:t xml:space="preserve"> consultation, collaboration and negotiation with stakeholders from the </w:t>
      </w:r>
      <w:r>
        <w:t xml:space="preserve">Australian </w:t>
      </w:r>
      <w:r w:rsidR="00073CAA">
        <w:t>G</w:t>
      </w:r>
      <w:r>
        <w:t xml:space="preserve">overnment, NSW </w:t>
      </w:r>
      <w:r w:rsidR="00073CAA">
        <w:t>G</w:t>
      </w:r>
      <w:r>
        <w:t xml:space="preserve">overnment </w:t>
      </w:r>
      <w:r w:rsidRPr="00891727">
        <w:t xml:space="preserve">and </w:t>
      </w:r>
      <w:r w:rsidR="00432763">
        <w:t>r</w:t>
      </w:r>
      <w:r w:rsidR="004F65C8">
        <w:t>egional, metro</w:t>
      </w:r>
      <w:r w:rsidR="00432763">
        <w:t>politan</w:t>
      </w:r>
      <w:r w:rsidR="004F65C8">
        <w:t xml:space="preserve"> and clusters of NSW councils </w:t>
      </w:r>
      <w:r w:rsidRPr="00891727">
        <w:t xml:space="preserve">on approaches to ensure </w:t>
      </w:r>
      <w:r w:rsidR="004F65C8">
        <w:t>agencies and authorities improve sustainability practices,</w:t>
      </w:r>
      <w:r w:rsidR="00AC5A69">
        <w:t xml:space="preserve"> build resilience to climate change,</w:t>
      </w:r>
      <w:r w:rsidR="004F65C8">
        <w:t xml:space="preserve"> implement energy reduction projects and </w:t>
      </w:r>
      <w:r w:rsidR="00D36217">
        <w:t xml:space="preserve">implement </w:t>
      </w:r>
      <w:bookmarkStart w:id="2" w:name="_Hlk180144651"/>
      <w:r w:rsidR="00D36217">
        <w:t>net zero strategy measures</w:t>
      </w:r>
      <w:bookmarkEnd w:id="2"/>
    </w:p>
    <w:p w14:paraId="1DE306D7" w14:textId="0A522B06" w:rsidR="009960C2" w:rsidRPr="00891727" w:rsidRDefault="00BD0DF2" w:rsidP="00BF7984">
      <w:pPr>
        <w:pStyle w:val="ListParagraph"/>
        <w:numPr>
          <w:ilvl w:val="0"/>
          <w:numId w:val="38"/>
        </w:numPr>
        <w:tabs>
          <w:tab w:val="left" w:pos="2925"/>
        </w:tabs>
      </w:pPr>
      <w:r w:rsidRPr="0009221E">
        <w:rPr>
          <w:szCs w:val="22"/>
        </w:rPr>
        <w:t xml:space="preserve">Develop, apply, manage and adjust </w:t>
      </w:r>
      <w:r w:rsidR="007A4A89">
        <w:t xml:space="preserve">a </w:t>
      </w:r>
      <w:r w:rsidR="007A4A89" w:rsidRPr="00891727">
        <w:t>wide range of measures to provide</w:t>
      </w:r>
      <w:r w:rsidR="00E21129">
        <w:t xml:space="preserve"> effective capacity, technical resources and advice</w:t>
      </w:r>
      <w:r w:rsidR="007A4A89">
        <w:t xml:space="preserve"> to </w:t>
      </w:r>
      <w:r w:rsidR="00891727">
        <w:t>government sector stakeholders at all levels to enable the development and implementation of policies, practices, technologies and investments to reduce their carbon emissions</w:t>
      </w:r>
    </w:p>
    <w:p w14:paraId="6FBE733A" w14:textId="733CAAC1" w:rsidR="00BA2EC7" w:rsidRPr="00777A0D" w:rsidRDefault="00BA2EC7" w:rsidP="00BF7984">
      <w:pPr>
        <w:pStyle w:val="ListParagraph"/>
        <w:numPr>
          <w:ilvl w:val="0"/>
          <w:numId w:val="38"/>
        </w:numPr>
        <w:tabs>
          <w:tab w:val="left" w:pos="2925"/>
        </w:tabs>
      </w:pPr>
      <w:r>
        <w:t xml:space="preserve">Provide technical direction, coaching and peer review to the </w:t>
      </w:r>
      <w:r w:rsidR="00AC5A69">
        <w:t>Climate Change</w:t>
      </w:r>
      <w:r>
        <w:t xml:space="preserve"> and Strategy </w:t>
      </w:r>
      <w:r w:rsidR="00340FFF">
        <w:t>team</w:t>
      </w:r>
      <w:r>
        <w:t>, and implement developmental strategies to build capability and capacity to support effective performance and individual improvemen</w:t>
      </w:r>
      <w:r w:rsidR="008540F0">
        <w:t>t</w:t>
      </w:r>
    </w:p>
    <w:p w14:paraId="78576563" w14:textId="13A4D1F1" w:rsidR="00BA2EC7" w:rsidRPr="00777A0D" w:rsidRDefault="00BA2EC7" w:rsidP="00BF7984">
      <w:pPr>
        <w:pStyle w:val="ListParagraph"/>
        <w:numPr>
          <w:ilvl w:val="0"/>
          <w:numId w:val="38"/>
        </w:numPr>
        <w:tabs>
          <w:tab w:val="left" w:pos="2925"/>
        </w:tabs>
      </w:pPr>
      <w:r>
        <w:t>Contribute as a member of the ECCS leadership team to strategic and business planning, ensuring implications for strategic initiatives, critical legislative requirements, government targets and performance are represented and considered, and that integrated and efficient products, services and advice are delivered</w:t>
      </w:r>
    </w:p>
    <w:p w14:paraId="7720B846" w14:textId="14DCE77A" w:rsidR="00057CB3" w:rsidRPr="00C978B9" w:rsidRDefault="00057CB3" w:rsidP="00BA2EC7">
      <w:pPr>
        <w:pStyle w:val="Heading2"/>
      </w:pPr>
      <w:r w:rsidRPr="00C978B9">
        <w:t>Key</w:t>
      </w:r>
      <w:r w:rsidR="00E31CD3" w:rsidRPr="00C978B9">
        <w:t xml:space="preserve"> </w:t>
      </w:r>
      <w:r w:rsidR="00043B92">
        <w:t>c</w:t>
      </w:r>
      <w:r w:rsidRPr="00C978B9">
        <w:t>hallenges</w:t>
      </w:r>
    </w:p>
    <w:p w14:paraId="7AF0ACCD" w14:textId="1182A5F8" w:rsidR="002644B2" w:rsidRPr="008952CB" w:rsidRDefault="002644B2" w:rsidP="006803B8">
      <w:pPr>
        <w:pStyle w:val="ListParagraph"/>
        <w:numPr>
          <w:ilvl w:val="0"/>
          <w:numId w:val="37"/>
        </w:numPr>
        <w:tabs>
          <w:tab w:val="left" w:pos="2925"/>
        </w:tabs>
      </w:pPr>
      <w:r>
        <w:t>Driving innovative and effective strategies, solutions and advice which align and integrate organisational activities to broader government priorities</w:t>
      </w:r>
    </w:p>
    <w:p w14:paraId="7E22320D" w14:textId="5C25DE01" w:rsidR="002644B2" w:rsidRPr="008952CB" w:rsidRDefault="002644B2" w:rsidP="006803B8">
      <w:pPr>
        <w:pStyle w:val="ListParagraph"/>
        <w:numPr>
          <w:ilvl w:val="0"/>
          <w:numId w:val="37"/>
        </w:numPr>
        <w:tabs>
          <w:tab w:val="left" w:pos="2925"/>
        </w:tabs>
      </w:pPr>
      <w:r>
        <w:t>Maintaining a dynamic balance between managing immediate operational challenges and delivering strategic reform and outcomes, anticipating and planning for future needs in a complex and dynamic operating environment of divergent stakeholder views</w:t>
      </w:r>
    </w:p>
    <w:p w14:paraId="52B0C9F0" w14:textId="77777777" w:rsidR="00057CB3" w:rsidRDefault="00043B92" w:rsidP="000C453F">
      <w:pPr>
        <w:pStyle w:val="Heading2"/>
      </w:pPr>
      <w:r>
        <w:t>Key r</w:t>
      </w:r>
      <w:r w:rsidR="00057CB3" w:rsidRPr="00C978B9">
        <w:t>elationships</w:t>
      </w:r>
    </w:p>
    <w:p w14:paraId="4627BBDE" w14:textId="3C052DBF" w:rsidR="00F715E2" w:rsidRDefault="00F715E2" w:rsidP="00F715E2">
      <w:pPr>
        <w:spacing w:before="360"/>
        <w:rPr>
          <w:b/>
          <w:bCs/>
        </w:rPr>
      </w:pPr>
      <w:r>
        <w:rPr>
          <w:b/>
          <w:bCs/>
        </w:rPr>
        <w:t>Ministerial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F715E2" w:rsidRPr="00C978B9" w14:paraId="344487CE" w14:textId="77777777" w:rsidTr="00A61074">
        <w:trPr>
          <w:cnfStyle w:val="100000000000" w:firstRow="1" w:lastRow="0" w:firstColumn="0" w:lastColumn="0" w:oddVBand="0" w:evenVBand="0" w:oddHBand="0" w:evenHBand="0" w:firstRowFirstColumn="0" w:firstRowLastColumn="0" w:lastRowFirstColumn="0" w:lastRowLastColumn="0"/>
          <w:cantSplit/>
          <w:tblHeader/>
        </w:trPr>
        <w:tc>
          <w:tcPr>
            <w:tcW w:w="3601" w:type="dxa"/>
            <w:shd w:val="clear" w:color="auto" w:fill="752F8A"/>
          </w:tcPr>
          <w:p w14:paraId="7D5F1D72" w14:textId="77777777" w:rsidR="00F715E2" w:rsidRPr="00C978B9" w:rsidRDefault="00F715E2" w:rsidP="00A61074">
            <w:pPr>
              <w:pStyle w:val="TableTextWhite0"/>
            </w:pPr>
            <w:r w:rsidRPr="00C978B9">
              <w:t>Who</w:t>
            </w:r>
          </w:p>
        </w:tc>
        <w:tc>
          <w:tcPr>
            <w:tcW w:w="6946" w:type="dxa"/>
            <w:shd w:val="clear" w:color="auto" w:fill="752F8A"/>
          </w:tcPr>
          <w:p w14:paraId="44F98A89" w14:textId="77777777" w:rsidR="00F715E2" w:rsidRPr="00C978B9" w:rsidRDefault="00F715E2" w:rsidP="00A61074">
            <w:pPr>
              <w:pStyle w:val="TableTextWhite0"/>
            </w:pPr>
            <w:r w:rsidRPr="00C978B9">
              <w:t>Why</w:t>
            </w:r>
          </w:p>
        </w:tc>
      </w:tr>
      <w:tr w:rsidR="00F715E2" w:rsidRPr="00C978B9" w14:paraId="4ED13D9F" w14:textId="77777777" w:rsidTr="00A61074">
        <w:trPr>
          <w:cantSplit/>
        </w:trPr>
        <w:tc>
          <w:tcPr>
            <w:tcW w:w="3601" w:type="dxa"/>
          </w:tcPr>
          <w:p w14:paraId="4C375D2D" w14:textId="77777777" w:rsidR="00F715E2" w:rsidRDefault="00F715E2" w:rsidP="00A61074">
            <w:pPr>
              <w:pStyle w:val="TableText"/>
            </w:pPr>
            <w:r>
              <w:t xml:space="preserve">Ministerial offices </w:t>
            </w:r>
          </w:p>
        </w:tc>
        <w:tc>
          <w:tcPr>
            <w:tcW w:w="6946" w:type="dxa"/>
          </w:tcPr>
          <w:p w14:paraId="02FE5A4C" w14:textId="77777777" w:rsidR="00F715E2" w:rsidRDefault="00F715E2" w:rsidP="00A61074">
            <w:pPr>
              <w:pStyle w:val="ListBullet"/>
              <w:rPr>
                <w:color w:val="000000"/>
              </w:rPr>
            </w:pPr>
            <w:r>
              <w:rPr>
                <w:rStyle w:val="normaltextrun"/>
                <w:rFonts w:cs="Arial"/>
                <w:sz w:val="20"/>
              </w:rPr>
              <w:t>Consult, update and provide strategic advice on policy, programs and opportunities for achievement of government priorities</w:t>
            </w:r>
            <w:r w:rsidRPr="27DF3724">
              <w:rPr>
                <w:rStyle w:val="normaltextrun"/>
                <w:rFonts w:cs="Arial"/>
                <w:sz w:val="20"/>
              </w:rPr>
              <w:t> </w:t>
            </w:r>
            <w:r>
              <w:rPr>
                <w:rStyle w:val="eop"/>
                <w:rFonts w:cs="Arial"/>
                <w:sz w:val="20"/>
              </w:rPr>
              <w:t> </w:t>
            </w:r>
          </w:p>
          <w:p w14:paraId="72DACC01" w14:textId="77777777" w:rsidR="00F715E2" w:rsidRPr="00073B28" w:rsidRDefault="00F715E2" w:rsidP="00A61074">
            <w:pPr>
              <w:pStyle w:val="ListBullet"/>
              <w:rPr>
                <w:color w:val="000000"/>
              </w:rPr>
            </w:pPr>
            <w:r>
              <w:rPr>
                <w:rStyle w:val="normaltextrun"/>
                <w:rFonts w:cs="Arial"/>
                <w:sz w:val="20"/>
              </w:rPr>
              <w:t xml:space="preserve">Foster collaborative working relationships to influence </w:t>
            </w:r>
            <w:proofErr w:type="gramStart"/>
            <w:r>
              <w:rPr>
                <w:rStyle w:val="normaltextrun"/>
                <w:rFonts w:cs="Arial"/>
                <w:sz w:val="20"/>
              </w:rPr>
              <w:t>evidence based</w:t>
            </w:r>
            <w:proofErr w:type="gramEnd"/>
            <w:r>
              <w:rPr>
                <w:rStyle w:val="normaltextrun"/>
                <w:rFonts w:cs="Arial"/>
                <w:sz w:val="20"/>
              </w:rPr>
              <w:t xml:space="preserve"> decision making and promote information sharing</w:t>
            </w:r>
          </w:p>
        </w:tc>
      </w:tr>
    </w:tbl>
    <w:p w14:paraId="07209BE8" w14:textId="77777777" w:rsidR="00863427" w:rsidRDefault="00863427" w:rsidP="00FB27B0">
      <w:pPr>
        <w:spacing w:before="360"/>
        <w:rPr>
          <w:b/>
          <w:bCs/>
        </w:rPr>
      </w:pPr>
      <w:bookmarkStart w:id="3" w:name="_Hlk180144543"/>
    </w:p>
    <w:p w14:paraId="54E1ABC1" w14:textId="77777777" w:rsidR="00863427" w:rsidRDefault="00863427" w:rsidP="00FB27B0">
      <w:pPr>
        <w:spacing w:before="360"/>
        <w:rPr>
          <w:b/>
          <w:bCs/>
        </w:rPr>
      </w:pPr>
    </w:p>
    <w:p w14:paraId="0385A53F" w14:textId="77777777" w:rsidR="00863427" w:rsidRDefault="00863427" w:rsidP="00FB27B0">
      <w:pPr>
        <w:spacing w:before="360"/>
        <w:rPr>
          <w:b/>
          <w:bCs/>
        </w:rPr>
      </w:pPr>
    </w:p>
    <w:p w14:paraId="44296EDF" w14:textId="77777777" w:rsidR="00863427" w:rsidRDefault="00863427" w:rsidP="00FB27B0">
      <w:pPr>
        <w:spacing w:before="360"/>
        <w:rPr>
          <w:b/>
          <w:bCs/>
        </w:rPr>
      </w:pPr>
    </w:p>
    <w:p w14:paraId="078C3AF4" w14:textId="77777777" w:rsidR="00863427" w:rsidRDefault="00863427" w:rsidP="00FB27B0">
      <w:pPr>
        <w:spacing w:before="360"/>
        <w:rPr>
          <w:b/>
          <w:bCs/>
        </w:rPr>
      </w:pPr>
    </w:p>
    <w:p w14:paraId="633FD4AD" w14:textId="048F4665" w:rsidR="00C34914" w:rsidRDefault="00C34914" w:rsidP="00FB27B0">
      <w:pPr>
        <w:spacing w:before="360"/>
        <w:rPr>
          <w:b/>
          <w:bCs/>
        </w:rPr>
      </w:pPr>
      <w:r>
        <w:rPr>
          <w:b/>
          <w:bCs/>
        </w:rPr>
        <w:lastRenderedPageBreak/>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26093E17" w14:textId="77777777" w:rsidTr="00C81B81">
        <w:trPr>
          <w:cnfStyle w:val="100000000000" w:firstRow="1" w:lastRow="0" w:firstColumn="0" w:lastColumn="0" w:oddVBand="0" w:evenVBand="0" w:oddHBand="0" w:evenHBand="0" w:firstRowFirstColumn="0" w:firstRowLastColumn="0" w:lastRowFirstColumn="0" w:lastRowLastColumn="0"/>
          <w:cantSplit/>
          <w:tblHeader/>
        </w:trPr>
        <w:tc>
          <w:tcPr>
            <w:tcW w:w="3601" w:type="dxa"/>
            <w:shd w:val="clear" w:color="auto" w:fill="752F8A"/>
          </w:tcPr>
          <w:p w14:paraId="22CEDE8B" w14:textId="77777777" w:rsidR="00057CB3" w:rsidRPr="00C978B9" w:rsidRDefault="00057CB3" w:rsidP="00803E47">
            <w:pPr>
              <w:pStyle w:val="TableTextWhite0"/>
            </w:pPr>
            <w:r w:rsidRPr="00C978B9">
              <w:t>Who</w:t>
            </w:r>
          </w:p>
        </w:tc>
        <w:tc>
          <w:tcPr>
            <w:tcW w:w="6946" w:type="dxa"/>
            <w:shd w:val="clear" w:color="auto" w:fill="752F8A"/>
          </w:tcPr>
          <w:p w14:paraId="753C5156" w14:textId="77777777" w:rsidR="00057CB3" w:rsidRPr="00C978B9" w:rsidRDefault="00057CB3" w:rsidP="00803E47">
            <w:pPr>
              <w:pStyle w:val="TableTextWhite0"/>
            </w:pPr>
            <w:r w:rsidRPr="00C978B9">
              <w:t>Why</w:t>
            </w:r>
          </w:p>
        </w:tc>
      </w:tr>
      <w:tr w:rsidR="00D36218" w:rsidRPr="00C978B9" w14:paraId="25824130" w14:textId="77777777" w:rsidTr="00103875">
        <w:trPr>
          <w:cantSplit/>
        </w:trPr>
        <w:tc>
          <w:tcPr>
            <w:tcW w:w="3601" w:type="dxa"/>
          </w:tcPr>
          <w:p w14:paraId="7B674F8E" w14:textId="3C1E28B8" w:rsidR="00D36218" w:rsidRDefault="00D36218" w:rsidP="00AF2479">
            <w:pPr>
              <w:pStyle w:val="TableText"/>
            </w:pPr>
            <w:bookmarkStart w:id="4" w:name="InternalRelationships"/>
            <w:r>
              <w:t xml:space="preserve">Deputy Secretary </w:t>
            </w:r>
          </w:p>
        </w:tc>
        <w:tc>
          <w:tcPr>
            <w:tcW w:w="6946" w:type="dxa"/>
          </w:tcPr>
          <w:p w14:paraId="0C97F3EE" w14:textId="6E2C049C" w:rsidR="000C6CBC" w:rsidRPr="000C6CBC" w:rsidRDefault="000C6CBC" w:rsidP="000C6CBC">
            <w:pPr>
              <w:pStyle w:val="ListBullet"/>
              <w:rPr>
                <w:sz w:val="20"/>
                <w:lang w:eastAsia="en-AU"/>
              </w:rPr>
            </w:pPr>
            <w:r w:rsidRPr="000C6CBC">
              <w:rPr>
                <w:sz w:val="20"/>
                <w:lang w:eastAsia="en-AU"/>
              </w:rPr>
              <w:t xml:space="preserve">Provide up to date information on the development and delivery of the </w:t>
            </w:r>
            <w:r w:rsidR="00B018AB">
              <w:rPr>
                <w:sz w:val="20"/>
                <w:lang w:eastAsia="en-AU"/>
              </w:rPr>
              <w:t>g</w:t>
            </w:r>
            <w:r w:rsidRPr="000C6CBC">
              <w:rPr>
                <w:sz w:val="20"/>
                <w:lang w:eastAsia="en-AU"/>
              </w:rPr>
              <w:t>overnment's policy objectives </w:t>
            </w:r>
          </w:p>
          <w:p w14:paraId="3C759979" w14:textId="75A8E2FC" w:rsidR="000C6CBC" w:rsidRPr="000C6CBC" w:rsidRDefault="000C6CBC" w:rsidP="000C6CBC">
            <w:pPr>
              <w:pStyle w:val="ListBullet"/>
              <w:rPr>
                <w:sz w:val="20"/>
                <w:lang w:eastAsia="en-AU"/>
              </w:rPr>
            </w:pPr>
            <w:r w:rsidRPr="000C6CBC">
              <w:rPr>
                <w:sz w:val="20"/>
                <w:lang w:eastAsia="en-AU"/>
              </w:rPr>
              <w:t xml:space="preserve">Provide expert, coordinated and </w:t>
            </w:r>
            <w:proofErr w:type="gramStart"/>
            <w:r w:rsidRPr="000C6CBC">
              <w:rPr>
                <w:sz w:val="20"/>
                <w:lang w:eastAsia="en-AU"/>
              </w:rPr>
              <w:t>high</w:t>
            </w:r>
            <w:r w:rsidR="004F3F75">
              <w:rPr>
                <w:sz w:val="20"/>
                <w:lang w:eastAsia="en-AU"/>
              </w:rPr>
              <w:t xml:space="preserve"> </w:t>
            </w:r>
            <w:r w:rsidRPr="000C6CBC">
              <w:rPr>
                <w:sz w:val="20"/>
                <w:lang w:eastAsia="en-AU"/>
              </w:rPr>
              <w:t>level</w:t>
            </w:r>
            <w:proofErr w:type="gramEnd"/>
            <w:r w:rsidRPr="000C6CBC">
              <w:rPr>
                <w:sz w:val="20"/>
                <w:lang w:eastAsia="en-AU"/>
              </w:rPr>
              <w:t xml:space="preserve"> strategic advice and recommendations across high priority policy/service delivery areas in collaboration with other leadership team members</w:t>
            </w:r>
            <w:r w:rsidR="414F4A4E" w:rsidRPr="27DF3724">
              <w:rPr>
                <w:sz w:val="20"/>
                <w:lang w:eastAsia="en-AU"/>
              </w:rPr>
              <w:t> </w:t>
            </w:r>
            <w:r w:rsidRPr="000C6CBC">
              <w:rPr>
                <w:sz w:val="20"/>
                <w:lang w:eastAsia="en-AU"/>
              </w:rPr>
              <w:t> </w:t>
            </w:r>
          </w:p>
          <w:p w14:paraId="4563ECDA" w14:textId="1F5784FA" w:rsidR="00D36218" w:rsidRPr="000C6CBC" w:rsidRDefault="000C6CBC" w:rsidP="000C6CBC">
            <w:pPr>
              <w:pStyle w:val="ListBullet"/>
              <w:rPr>
                <w:sz w:val="20"/>
                <w:lang w:eastAsia="en-AU"/>
              </w:rPr>
            </w:pPr>
            <w:r w:rsidRPr="000C6CBC">
              <w:rPr>
                <w:sz w:val="20"/>
                <w:lang w:eastAsia="en-AU"/>
              </w:rPr>
              <w:t>Strategy and policy development and coordination capability to drive consistency, efficiency and related performance and governance improvements</w:t>
            </w:r>
          </w:p>
        </w:tc>
      </w:tr>
      <w:tr w:rsidR="000C6CBC" w:rsidRPr="00C978B9" w14:paraId="7E78B482" w14:textId="77777777" w:rsidTr="00103875">
        <w:trPr>
          <w:cantSplit/>
        </w:trPr>
        <w:tc>
          <w:tcPr>
            <w:tcW w:w="3601" w:type="dxa"/>
          </w:tcPr>
          <w:p w14:paraId="73BD3492" w14:textId="2C3BA288" w:rsidR="000C6CBC" w:rsidRDefault="000C6CBC" w:rsidP="00AF2479">
            <w:pPr>
              <w:pStyle w:val="TableText"/>
            </w:pPr>
            <w:r>
              <w:t>Executive Leadership Team</w:t>
            </w:r>
          </w:p>
        </w:tc>
        <w:tc>
          <w:tcPr>
            <w:tcW w:w="6946" w:type="dxa"/>
          </w:tcPr>
          <w:p w14:paraId="5C3DFC4E" w14:textId="28FE9466" w:rsidR="0002629C" w:rsidRPr="0002629C" w:rsidRDefault="0002629C" w:rsidP="0002629C">
            <w:pPr>
              <w:pStyle w:val="ListBullet"/>
              <w:rPr>
                <w:sz w:val="20"/>
                <w:lang w:eastAsia="en-AU"/>
              </w:rPr>
            </w:pPr>
            <w:r w:rsidRPr="0002629C">
              <w:rPr>
                <w:sz w:val="20"/>
                <w:lang w:eastAsia="en-AU"/>
              </w:rPr>
              <w:t>Contribut</w:t>
            </w:r>
            <w:r w:rsidR="004F3F75">
              <w:rPr>
                <w:sz w:val="20"/>
                <w:lang w:eastAsia="en-AU"/>
              </w:rPr>
              <w:t>e</w:t>
            </w:r>
            <w:r w:rsidRPr="0002629C">
              <w:rPr>
                <w:sz w:val="20"/>
                <w:lang w:eastAsia="en-AU"/>
              </w:rPr>
              <w:t xml:space="preserve"> to Executive management of the Group including articulatin</w:t>
            </w:r>
            <w:r w:rsidR="00B018AB">
              <w:rPr>
                <w:sz w:val="20"/>
                <w:lang w:eastAsia="en-AU"/>
              </w:rPr>
              <w:t>g</w:t>
            </w:r>
            <w:r w:rsidRPr="0002629C">
              <w:rPr>
                <w:sz w:val="20"/>
                <w:lang w:eastAsia="en-AU"/>
              </w:rPr>
              <w:t xml:space="preserve"> the vision and goals, strategic and business planning, executive decision</w:t>
            </w:r>
            <w:r w:rsidR="00B018AB">
              <w:rPr>
                <w:sz w:val="20"/>
                <w:lang w:eastAsia="en-AU"/>
              </w:rPr>
              <w:t xml:space="preserve"> </w:t>
            </w:r>
            <w:r w:rsidRPr="0002629C">
              <w:rPr>
                <w:sz w:val="20"/>
                <w:lang w:eastAsia="en-AU"/>
              </w:rPr>
              <w:t>making and performance evaluation </w:t>
            </w:r>
          </w:p>
          <w:p w14:paraId="51052E60" w14:textId="77777777" w:rsidR="0002629C" w:rsidRPr="0002629C" w:rsidRDefault="0002629C" w:rsidP="0002629C">
            <w:pPr>
              <w:pStyle w:val="ListBullet"/>
              <w:rPr>
                <w:sz w:val="20"/>
                <w:lang w:eastAsia="en-AU"/>
              </w:rPr>
            </w:pPr>
            <w:r w:rsidRPr="0002629C">
              <w:rPr>
                <w:sz w:val="20"/>
                <w:lang w:eastAsia="en-AU"/>
              </w:rPr>
              <w:t>Build a shared sense of direction and a culture of service and performance  </w:t>
            </w:r>
          </w:p>
          <w:p w14:paraId="3C96C10C" w14:textId="0D49D4D9" w:rsidR="000C6CBC" w:rsidRPr="0002629C" w:rsidRDefault="0002629C" w:rsidP="0002629C">
            <w:pPr>
              <w:pStyle w:val="ListBullet"/>
              <w:rPr>
                <w:sz w:val="20"/>
                <w:lang w:eastAsia="en-AU"/>
              </w:rPr>
            </w:pPr>
            <w:r w:rsidRPr="0002629C">
              <w:rPr>
                <w:sz w:val="20"/>
                <w:lang w:eastAsia="en-AU"/>
              </w:rPr>
              <w:t>Collaborate across divisions to co-deliver the people strategy and other programs of work as part of department improvement initiatives  </w:t>
            </w:r>
          </w:p>
        </w:tc>
      </w:tr>
      <w:tr w:rsidR="0002629C" w:rsidRPr="00C978B9" w14:paraId="6727032D" w14:textId="77777777" w:rsidTr="00103875">
        <w:trPr>
          <w:cantSplit/>
        </w:trPr>
        <w:tc>
          <w:tcPr>
            <w:tcW w:w="3601" w:type="dxa"/>
          </w:tcPr>
          <w:p w14:paraId="48CB1CCB" w14:textId="0ED1351A" w:rsidR="0002629C" w:rsidRDefault="0002629C" w:rsidP="00AF2479">
            <w:pPr>
              <w:pStyle w:val="TableText"/>
            </w:pPr>
            <w:r>
              <w:t xml:space="preserve">Direct </w:t>
            </w:r>
            <w:r w:rsidR="009652C8">
              <w:t>r</w:t>
            </w:r>
            <w:r>
              <w:t xml:space="preserve">eports </w:t>
            </w:r>
          </w:p>
        </w:tc>
        <w:tc>
          <w:tcPr>
            <w:tcW w:w="6946" w:type="dxa"/>
          </w:tcPr>
          <w:p w14:paraId="5F410B73" w14:textId="65060F83" w:rsidR="00925EB7" w:rsidRPr="00925EB7" w:rsidRDefault="00925EB7" w:rsidP="00925EB7">
            <w:pPr>
              <w:pStyle w:val="ListBullet"/>
              <w:rPr>
                <w:sz w:val="20"/>
                <w:lang w:eastAsia="en-AU"/>
              </w:rPr>
            </w:pPr>
            <w:r w:rsidRPr="00925EB7">
              <w:rPr>
                <w:sz w:val="20"/>
                <w:lang w:eastAsia="en-AU"/>
              </w:rPr>
              <w:t>Provide leadership, support and an inclusive environment and culture of ongoing learning </w:t>
            </w:r>
          </w:p>
          <w:p w14:paraId="5D6114FD" w14:textId="0C2862E9" w:rsidR="00925EB7" w:rsidRPr="00925EB7" w:rsidRDefault="00925EB7" w:rsidP="00925EB7">
            <w:pPr>
              <w:pStyle w:val="ListBullet"/>
              <w:rPr>
                <w:sz w:val="20"/>
                <w:lang w:eastAsia="en-AU"/>
              </w:rPr>
            </w:pPr>
            <w:r w:rsidRPr="00925EB7">
              <w:rPr>
                <w:sz w:val="20"/>
                <w:lang w:eastAsia="en-AU"/>
              </w:rPr>
              <w:t>Lead strategy development, cross-department stakeholder and client engagement, business planning and robust program/project governance </w:t>
            </w:r>
          </w:p>
          <w:p w14:paraId="331C7E53" w14:textId="3333F872" w:rsidR="0002629C" w:rsidRPr="00925EB7" w:rsidRDefault="00925EB7" w:rsidP="00925EB7">
            <w:pPr>
              <w:pStyle w:val="ListBullet"/>
              <w:rPr>
                <w:sz w:val="20"/>
                <w:lang w:eastAsia="en-AU"/>
              </w:rPr>
            </w:pPr>
            <w:r w:rsidRPr="00925EB7">
              <w:rPr>
                <w:sz w:val="20"/>
                <w:lang w:eastAsia="en-AU"/>
              </w:rPr>
              <w:t>Facilitate knowledge transfer to ensure staff have the depth and breadth of technical knowledge, skills and support to achieve strategic objectives</w:t>
            </w:r>
          </w:p>
        </w:tc>
      </w:tr>
    </w:tbl>
    <w:bookmarkEnd w:id="3"/>
    <w:bookmarkEnd w:id="4"/>
    <w:p w14:paraId="54336776"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54C42B17"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14:paraId="5314EA0A" w14:textId="77777777" w:rsidR="00C34914" w:rsidRPr="00C978B9" w:rsidRDefault="00C34914">
            <w:pPr>
              <w:pStyle w:val="TableTextWhite0"/>
            </w:pPr>
            <w:r w:rsidRPr="00C978B9">
              <w:t>Who</w:t>
            </w:r>
          </w:p>
        </w:tc>
        <w:tc>
          <w:tcPr>
            <w:tcW w:w="6946" w:type="dxa"/>
            <w:shd w:val="clear" w:color="auto" w:fill="752F8A"/>
          </w:tcPr>
          <w:p w14:paraId="6463691B" w14:textId="77777777" w:rsidR="00C34914" w:rsidRPr="00C978B9" w:rsidRDefault="00C34914">
            <w:pPr>
              <w:pStyle w:val="TableTextWhite0"/>
            </w:pPr>
            <w:r w:rsidRPr="00C978B9">
              <w:t>Why</w:t>
            </w:r>
          </w:p>
        </w:tc>
      </w:tr>
      <w:tr w:rsidR="00C34914" w:rsidRPr="00C978B9" w14:paraId="22761100" w14:textId="77777777" w:rsidTr="00103875">
        <w:trPr>
          <w:cantSplit/>
        </w:trPr>
        <w:tc>
          <w:tcPr>
            <w:tcW w:w="3601" w:type="dxa"/>
          </w:tcPr>
          <w:p w14:paraId="04B5FBFB" w14:textId="205CAF0C" w:rsidR="00C34914" w:rsidRPr="00AF2479" w:rsidRDefault="009652C8">
            <w:pPr>
              <w:pStyle w:val="TableText"/>
            </w:pPr>
            <w:bookmarkStart w:id="5" w:name="ExternalRelationships"/>
            <w:r>
              <w:t>Australian</w:t>
            </w:r>
            <w:r w:rsidR="00C653F3">
              <w:t xml:space="preserve"> Government </w:t>
            </w:r>
          </w:p>
        </w:tc>
        <w:tc>
          <w:tcPr>
            <w:tcW w:w="6946" w:type="dxa"/>
          </w:tcPr>
          <w:p w14:paraId="45F913BC" w14:textId="0FBA1A79" w:rsidR="00C81B81" w:rsidRPr="00C81B81" w:rsidRDefault="00C81B81" w:rsidP="00C81B81">
            <w:pPr>
              <w:pStyle w:val="ListBullet"/>
              <w:rPr>
                <w:sz w:val="20"/>
                <w:lang w:eastAsia="en-AU"/>
              </w:rPr>
            </w:pPr>
            <w:r w:rsidRPr="00C81B81">
              <w:rPr>
                <w:sz w:val="20"/>
                <w:lang w:eastAsia="en-AU"/>
              </w:rPr>
              <w:t xml:space="preserve">Manage effective relationships and establish strategic partnerships and networks with key stakeholders </w:t>
            </w:r>
            <w:r w:rsidR="009652C8">
              <w:rPr>
                <w:sz w:val="20"/>
                <w:lang w:eastAsia="en-AU"/>
              </w:rPr>
              <w:t>such as the</w:t>
            </w:r>
            <w:r w:rsidRPr="00C81B81">
              <w:rPr>
                <w:sz w:val="20"/>
                <w:lang w:eastAsia="en-AU"/>
              </w:rPr>
              <w:t xml:space="preserve"> Energy and Climate Ministerial Council </w:t>
            </w:r>
          </w:p>
          <w:p w14:paraId="7F76FBBE" w14:textId="2C0FF36F" w:rsidR="00C81B81" w:rsidRPr="00C81B81" w:rsidRDefault="00C81B81" w:rsidP="00C81B81">
            <w:pPr>
              <w:pStyle w:val="ListBullet"/>
              <w:rPr>
                <w:sz w:val="20"/>
                <w:lang w:eastAsia="en-AU"/>
              </w:rPr>
            </w:pPr>
            <w:r w:rsidRPr="00C81B81">
              <w:rPr>
                <w:sz w:val="20"/>
                <w:lang w:eastAsia="en-AU"/>
              </w:rPr>
              <w:t xml:space="preserve">Liaise and keep informed of Australian </w:t>
            </w:r>
            <w:r w:rsidR="009652C8">
              <w:rPr>
                <w:sz w:val="20"/>
                <w:lang w:eastAsia="en-AU"/>
              </w:rPr>
              <w:t>G</w:t>
            </w:r>
            <w:r w:rsidRPr="00C81B81">
              <w:rPr>
                <w:sz w:val="20"/>
                <w:lang w:eastAsia="en-AU"/>
              </w:rPr>
              <w:t>overnment decisions </w:t>
            </w:r>
          </w:p>
          <w:p w14:paraId="4938C8A4" w14:textId="447DBFF1" w:rsidR="00177006" w:rsidRPr="00AF2479" w:rsidRDefault="00C81B81" w:rsidP="00641CB8">
            <w:pPr>
              <w:pStyle w:val="ListBullet"/>
              <w:rPr>
                <w:sz w:val="20"/>
                <w:lang w:eastAsia="en-AU"/>
              </w:rPr>
            </w:pPr>
            <w:r w:rsidRPr="00C81B81">
              <w:rPr>
                <w:sz w:val="20"/>
                <w:lang w:eastAsia="en-AU"/>
              </w:rPr>
              <w:t xml:space="preserve">Represent the department in Australian Government consultation and </w:t>
            </w:r>
            <w:proofErr w:type="gramStart"/>
            <w:r w:rsidRPr="00C81B81">
              <w:rPr>
                <w:sz w:val="20"/>
                <w:lang w:eastAsia="en-AU"/>
              </w:rPr>
              <w:t>decision</w:t>
            </w:r>
            <w:r w:rsidR="00167C9B">
              <w:rPr>
                <w:sz w:val="20"/>
                <w:lang w:eastAsia="en-AU"/>
              </w:rPr>
              <w:t xml:space="preserve"> </w:t>
            </w:r>
            <w:r w:rsidRPr="00C81B81">
              <w:rPr>
                <w:sz w:val="20"/>
                <w:lang w:eastAsia="en-AU"/>
              </w:rPr>
              <w:t>making</w:t>
            </w:r>
            <w:proofErr w:type="gramEnd"/>
            <w:r w:rsidRPr="00C81B81">
              <w:rPr>
                <w:sz w:val="20"/>
                <w:lang w:eastAsia="en-AU"/>
              </w:rPr>
              <w:t xml:space="preserve"> bodies and processes as required </w:t>
            </w:r>
          </w:p>
        </w:tc>
      </w:tr>
      <w:tr w:rsidR="00F715E2" w:rsidRPr="00C978B9" w14:paraId="405A0BAB" w14:textId="77777777" w:rsidTr="00103875">
        <w:trPr>
          <w:cantSplit/>
        </w:trPr>
        <w:tc>
          <w:tcPr>
            <w:tcW w:w="3601" w:type="dxa"/>
          </w:tcPr>
          <w:p w14:paraId="2FFD9F69" w14:textId="33168586" w:rsidR="00F715E2" w:rsidRDefault="00F715E2" w:rsidP="00F715E2">
            <w:pPr>
              <w:pStyle w:val="TableText"/>
            </w:pPr>
            <w:r>
              <w:t xml:space="preserve">Other NSW Government departments </w:t>
            </w:r>
          </w:p>
        </w:tc>
        <w:tc>
          <w:tcPr>
            <w:tcW w:w="6946" w:type="dxa"/>
          </w:tcPr>
          <w:p w14:paraId="020D3CE6" w14:textId="77777777" w:rsidR="00F715E2" w:rsidRPr="00D36218" w:rsidRDefault="00F715E2" w:rsidP="00F715E2">
            <w:pPr>
              <w:pStyle w:val="ListBullet"/>
              <w:rPr>
                <w:sz w:val="20"/>
                <w:lang w:eastAsia="en-AU"/>
              </w:rPr>
            </w:pPr>
            <w:r w:rsidRPr="00D36218">
              <w:rPr>
                <w:sz w:val="20"/>
                <w:lang w:eastAsia="en-AU"/>
              </w:rPr>
              <w:t>Manage effective relationships and establish strategic partnerships and networks with key government stakeholders and contribute to the successful delivery of whole-of-government initiatives </w:t>
            </w:r>
          </w:p>
          <w:p w14:paraId="50E60784" w14:textId="77777777" w:rsidR="00F715E2" w:rsidRPr="00D36218" w:rsidRDefault="00F715E2" w:rsidP="00F715E2">
            <w:pPr>
              <w:pStyle w:val="ListBullet"/>
              <w:rPr>
                <w:sz w:val="20"/>
                <w:lang w:eastAsia="en-AU"/>
              </w:rPr>
            </w:pPr>
            <w:r w:rsidRPr="00D36218">
              <w:rPr>
                <w:sz w:val="20"/>
                <w:lang w:eastAsia="en-AU"/>
              </w:rPr>
              <w:t>Build and leverage partnerships with Premier’s Department and The Cabinet Office to establish opportunities to leverage capability and capacity across the sector more broadly  </w:t>
            </w:r>
          </w:p>
          <w:p w14:paraId="2FD959E2" w14:textId="23BB2321" w:rsidR="00F715E2" w:rsidRPr="00EF0141" w:rsidRDefault="00F715E2" w:rsidP="00F715E2">
            <w:pPr>
              <w:pStyle w:val="ListBullet"/>
              <w:rPr>
                <w:sz w:val="20"/>
                <w:lang w:eastAsia="en-AU"/>
              </w:rPr>
            </w:pPr>
            <w:r w:rsidRPr="00D36218">
              <w:rPr>
                <w:sz w:val="20"/>
                <w:lang w:eastAsia="en-AU"/>
              </w:rPr>
              <w:t xml:space="preserve">Liaise and keep informed of </w:t>
            </w:r>
            <w:r>
              <w:rPr>
                <w:sz w:val="20"/>
                <w:lang w:eastAsia="en-AU"/>
              </w:rPr>
              <w:t>g</w:t>
            </w:r>
            <w:r w:rsidRPr="00D36218">
              <w:rPr>
                <w:sz w:val="20"/>
                <w:lang w:eastAsia="en-AU"/>
              </w:rPr>
              <w:t>overnment decisions and seek information to incorporate into department strategies </w:t>
            </w:r>
          </w:p>
        </w:tc>
      </w:tr>
      <w:tr w:rsidR="006A3360" w:rsidRPr="00C978B9" w14:paraId="1189624B" w14:textId="77777777" w:rsidTr="00103875">
        <w:trPr>
          <w:cantSplit/>
        </w:trPr>
        <w:tc>
          <w:tcPr>
            <w:tcW w:w="3601" w:type="dxa"/>
          </w:tcPr>
          <w:p w14:paraId="27CEB3ED" w14:textId="59D41B01" w:rsidR="006A3360" w:rsidRDefault="006A3360">
            <w:pPr>
              <w:pStyle w:val="TableText"/>
            </w:pPr>
            <w:r>
              <w:t xml:space="preserve">Local </w:t>
            </w:r>
            <w:r w:rsidR="0029638F">
              <w:t>g</w:t>
            </w:r>
            <w:r>
              <w:t xml:space="preserve">overnments and </w:t>
            </w:r>
            <w:r w:rsidR="0029638F">
              <w:t>j</w:t>
            </w:r>
            <w:r>
              <w:t xml:space="preserve">oint </w:t>
            </w:r>
            <w:r w:rsidR="0029638F">
              <w:t>o</w:t>
            </w:r>
            <w:r>
              <w:t xml:space="preserve">rganisations </w:t>
            </w:r>
          </w:p>
        </w:tc>
        <w:tc>
          <w:tcPr>
            <w:tcW w:w="6946" w:type="dxa"/>
          </w:tcPr>
          <w:p w14:paraId="3FD961CA" w14:textId="11A351BA" w:rsidR="006A3360" w:rsidRPr="00C81B81" w:rsidRDefault="00EF0141" w:rsidP="00C81B81">
            <w:pPr>
              <w:pStyle w:val="ListBullet"/>
              <w:rPr>
                <w:sz w:val="20"/>
                <w:lang w:eastAsia="en-AU"/>
              </w:rPr>
            </w:pPr>
            <w:r w:rsidRPr="00EF0141">
              <w:rPr>
                <w:sz w:val="20"/>
                <w:lang w:eastAsia="en-AU"/>
              </w:rPr>
              <w:t xml:space="preserve">Establish and sustain proactive and appropriate relationships with </w:t>
            </w:r>
            <w:r w:rsidR="009652C8">
              <w:rPr>
                <w:sz w:val="20"/>
                <w:lang w:eastAsia="en-AU"/>
              </w:rPr>
              <w:t>l</w:t>
            </w:r>
            <w:r w:rsidRPr="00EF0141">
              <w:rPr>
                <w:sz w:val="20"/>
                <w:lang w:eastAsia="en-AU"/>
              </w:rPr>
              <w:t xml:space="preserve">ocal </w:t>
            </w:r>
            <w:r w:rsidR="009652C8">
              <w:rPr>
                <w:sz w:val="20"/>
                <w:lang w:eastAsia="en-AU"/>
              </w:rPr>
              <w:t>g</w:t>
            </w:r>
            <w:r w:rsidRPr="00EF0141">
              <w:rPr>
                <w:sz w:val="20"/>
                <w:lang w:eastAsia="en-AU"/>
              </w:rPr>
              <w:t>overnment to facilitate the exchange of information and to maintain positive relationships</w:t>
            </w:r>
          </w:p>
        </w:tc>
      </w:tr>
      <w:tr w:rsidR="00EF0141" w:rsidRPr="00C978B9" w14:paraId="27B6FEE3" w14:textId="77777777" w:rsidTr="00103875">
        <w:trPr>
          <w:cantSplit/>
        </w:trPr>
        <w:tc>
          <w:tcPr>
            <w:tcW w:w="3601" w:type="dxa"/>
          </w:tcPr>
          <w:p w14:paraId="09A955C0" w14:textId="2F1B62DA" w:rsidR="00EF0141" w:rsidRDefault="00EF0141">
            <w:pPr>
              <w:pStyle w:val="TableText"/>
            </w:pPr>
            <w:r>
              <w:t xml:space="preserve">Non-government and community sectors </w:t>
            </w:r>
          </w:p>
        </w:tc>
        <w:tc>
          <w:tcPr>
            <w:tcW w:w="6946" w:type="dxa"/>
          </w:tcPr>
          <w:p w14:paraId="404B66E4" w14:textId="7773D540" w:rsidR="00EF0141" w:rsidRPr="00EF0141" w:rsidRDefault="002F0728" w:rsidP="0029638F">
            <w:pPr>
              <w:pStyle w:val="ListBullet"/>
              <w:ind w:right="194"/>
              <w:rPr>
                <w:sz w:val="20"/>
                <w:lang w:eastAsia="en-AU"/>
              </w:rPr>
            </w:pPr>
            <w:r w:rsidRPr="002F0728">
              <w:rPr>
                <w:sz w:val="20"/>
                <w:lang w:eastAsia="en-AU"/>
              </w:rPr>
              <w:t>Ensure effective communication and collaborative relationships with stakeholders in the non-government and community sectors to inform and support the delivery of agency priorities and goals </w:t>
            </w:r>
          </w:p>
        </w:tc>
      </w:tr>
      <w:tr w:rsidR="002F0728" w:rsidRPr="00C978B9" w14:paraId="71FE337D" w14:textId="77777777" w:rsidTr="00103875">
        <w:trPr>
          <w:cantSplit/>
        </w:trPr>
        <w:tc>
          <w:tcPr>
            <w:tcW w:w="3601" w:type="dxa"/>
          </w:tcPr>
          <w:p w14:paraId="02D67392" w14:textId="675EA756" w:rsidR="002F0728" w:rsidRDefault="002F0728">
            <w:pPr>
              <w:pStyle w:val="TableText"/>
            </w:pPr>
            <w:r>
              <w:t xml:space="preserve">Vendors/Service </w:t>
            </w:r>
            <w:r w:rsidR="00073CAA">
              <w:t>p</w:t>
            </w:r>
            <w:r>
              <w:t xml:space="preserve">roviders </w:t>
            </w:r>
          </w:p>
        </w:tc>
        <w:tc>
          <w:tcPr>
            <w:tcW w:w="6946" w:type="dxa"/>
          </w:tcPr>
          <w:p w14:paraId="5CE2D556" w14:textId="77777777" w:rsidR="00744DDE" w:rsidRDefault="00744DDE" w:rsidP="00744DDE">
            <w:pPr>
              <w:pStyle w:val="ListBullet"/>
              <w:rPr>
                <w:color w:val="000000"/>
              </w:rPr>
            </w:pPr>
            <w:r>
              <w:rPr>
                <w:rStyle w:val="normaltextrun"/>
                <w:rFonts w:cs="Arial"/>
                <w:sz w:val="20"/>
              </w:rPr>
              <w:t>Communicate needs, facilitate routine business transactions and resolve issues</w:t>
            </w:r>
            <w:r>
              <w:rPr>
                <w:rStyle w:val="eop"/>
                <w:rFonts w:cs="Arial"/>
                <w:sz w:val="20"/>
              </w:rPr>
              <w:t> </w:t>
            </w:r>
          </w:p>
          <w:p w14:paraId="781C5538" w14:textId="15AA9F49" w:rsidR="002F0728" w:rsidRPr="00316790" w:rsidRDefault="00744DDE" w:rsidP="00316790">
            <w:pPr>
              <w:pStyle w:val="ListBullet"/>
              <w:rPr>
                <w:color w:val="000000"/>
              </w:rPr>
            </w:pPr>
            <w:r>
              <w:rPr>
                <w:rStyle w:val="normaltextrun"/>
                <w:rFonts w:cs="Arial"/>
                <w:sz w:val="20"/>
              </w:rPr>
              <w:t xml:space="preserve">Manage contracts and monitor </w:t>
            </w:r>
            <w:r w:rsidR="00D26F7A">
              <w:rPr>
                <w:rStyle w:val="normaltextrun"/>
                <w:rFonts w:cs="Arial"/>
                <w:sz w:val="20"/>
              </w:rPr>
              <w:t>service</w:t>
            </w:r>
            <w:r>
              <w:rPr>
                <w:rStyle w:val="normaltextrun"/>
                <w:rFonts w:cs="Arial"/>
                <w:sz w:val="20"/>
              </w:rPr>
              <w:t xml:space="preserve"> provision</w:t>
            </w:r>
            <w:r w:rsidR="00D26F7A">
              <w:rPr>
                <w:rStyle w:val="normaltextrun"/>
                <w:rFonts w:cs="Arial"/>
                <w:sz w:val="20"/>
              </w:rPr>
              <w:t xml:space="preserve"> </w:t>
            </w:r>
            <w:r>
              <w:rPr>
                <w:rStyle w:val="normaltextrun"/>
                <w:rFonts w:cs="Arial"/>
                <w:sz w:val="20"/>
              </w:rPr>
              <w:t>to ensure compliance with contract and service agreements</w:t>
            </w:r>
          </w:p>
        </w:tc>
      </w:tr>
    </w:tbl>
    <w:bookmarkEnd w:id="5"/>
    <w:p w14:paraId="29AF3D60" w14:textId="046AE566" w:rsidR="00057CB3" w:rsidRPr="00C978B9" w:rsidRDefault="0002436B" w:rsidP="000C453F">
      <w:pPr>
        <w:pStyle w:val="Heading2"/>
      </w:pPr>
      <w:r w:rsidRPr="00C978B9">
        <w:lastRenderedPageBreak/>
        <w:t xml:space="preserve">Role </w:t>
      </w:r>
      <w:r w:rsidR="00043B92">
        <w:t>d</w:t>
      </w:r>
      <w:r w:rsidRPr="00C978B9">
        <w:t>imensions</w:t>
      </w:r>
    </w:p>
    <w:p w14:paraId="42D25D82" w14:textId="77777777" w:rsidR="0002436B" w:rsidRDefault="001D133A" w:rsidP="000C453F">
      <w:pPr>
        <w:pStyle w:val="Heading3"/>
      </w:pPr>
      <w:r w:rsidRPr="00C978B9">
        <w:t>Decision making</w:t>
      </w:r>
    </w:p>
    <w:p w14:paraId="06B91240" w14:textId="77777777" w:rsidR="007A4290" w:rsidRDefault="007A4290" w:rsidP="007A4290">
      <w:bookmarkStart w:id="6" w:name="_Hlk17372642"/>
      <w:r>
        <w:t xml:space="preserve">The Executive Director: </w:t>
      </w:r>
    </w:p>
    <w:p w14:paraId="04FDD99A" w14:textId="23D9F26D" w:rsidR="007A4290" w:rsidRPr="00CB1A5E" w:rsidRDefault="007A4290" w:rsidP="47CBFB8C">
      <w:pPr>
        <w:pStyle w:val="ListParagraph"/>
        <w:numPr>
          <w:ilvl w:val="0"/>
          <w:numId w:val="15"/>
        </w:numPr>
        <w:tabs>
          <w:tab w:val="left" w:pos="2925"/>
        </w:tabs>
        <w:ind w:left="315" w:hanging="284"/>
        <w:contextualSpacing w:val="0"/>
        <w:rPr>
          <w:szCs w:val="22"/>
        </w:rPr>
      </w:pPr>
      <w:r w:rsidRPr="00CB1A5E">
        <w:rPr>
          <w:szCs w:val="22"/>
        </w:rPr>
        <w:t>Works within a broad framework of policies, priorities and goals but has a significant degree of independence in determining how to achieve results</w:t>
      </w:r>
    </w:p>
    <w:p w14:paraId="19918CD7" w14:textId="09A5CD00" w:rsidR="007A4290" w:rsidRPr="00CB1A5E" w:rsidRDefault="007A4290" w:rsidP="26B61EBA">
      <w:pPr>
        <w:pStyle w:val="ListParagraph"/>
        <w:numPr>
          <w:ilvl w:val="0"/>
          <w:numId w:val="15"/>
        </w:numPr>
        <w:tabs>
          <w:tab w:val="left" w:pos="2925"/>
        </w:tabs>
        <w:ind w:left="315" w:hanging="284"/>
        <w:contextualSpacing w:val="0"/>
      </w:pPr>
      <w:r>
        <w:t>Undertakes strategic decision-making with problem resolution focused on complex matters that substantially impact Government</w:t>
      </w:r>
    </w:p>
    <w:p w14:paraId="7FD4C7CD" w14:textId="7843CC16" w:rsidR="007A4290" w:rsidRPr="00CB1A5E" w:rsidRDefault="007A4290" w:rsidP="26B61EBA">
      <w:pPr>
        <w:pStyle w:val="ListParagraph"/>
        <w:numPr>
          <w:ilvl w:val="0"/>
          <w:numId w:val="15"/>
        </w:numPr>
        <w:tabs>
          <w:tab w:val="left" w:pos="2925"/>
        </w:tabs>
        <w:ind w:left="315" w:hanging="284"/>
        <w:contextualSpacing w:val="0"/>
      </w:pPr>
      <w:r>
        <w:t>Determines how to achieve outcomes, deciding on methods and approaches, project planning and allocation of resources</w:t>
      </w:r>
    </w:p>
    <w:p w14:paraId="2102106A" w14:textId="39AD048E" w:rsidR="007A4290" w:rsidRPr="00CB1A5E" w:rsidRDefault="007A4290" w:rsidP="26B61EBA">
      <w:pPr>
        <w:pStyle w:val="ListParagraph"/>
        <w:numPr>
          <w:ilvl w:val="0"/>
          <w:numId w:val="15"/>
        </w:numPr>
        <w:tabs>
          <w:tab w:val="left" w:pos="2925"/>
        </w:tabs>
        <w:ind w:left="315" w:hanging="284"/>
        <w:contextualSpacing w:val="0"/>
      </w:pPr>
      <w:r>
        <w:t>Is fully accountable for the content, accuracy, validity and integrity of advice and services within the Branch</w:t>
      </w:r>
    </w:p>
    <w:p w14:paraId="673C7F9B" w14:textId="1E2E72A7" w:rsidR="007A4290" w:rsidRPr="00CB1A5E" w:rsidRDefault="007A4290" w:rsidP="570FD5C4">
      <w:pPr>
        <w:pStyle w:val="ListParagraph"/>
        <w:numPr>
          <w:ilvl w:val="0"/>
          <w:numId w:val="15"/>
        </w:numPr>
        <w:tabs>
          <w:tab w:val="left" w:pos="2925"/>
        </w:tabs>
        <w:ind w:left="315" w:hanging="284"/>
        <w:contextualSpacing w:val="0"/>
      </w:pPr>
      <w:r>
        <w:t xml:space="preserve">Consults with the </w:t>
      </w:r>
      <w:r w:rsidR="0029638F">
        <w:t>Deputy Secretary</w:t>
      </w:r>
      <w:r>
        <w:t xml:space="preserve"> on major issues that arise or trends with broader strategy or policy implications identified</w:t>
      </w:r>
    </w:p>
    <w:p w14:paraId="16F859FE" w14:textId="491DE927" w:rsidR="007A4290" w:rsidRPr="00CB1A5E" w:rsidRDefault="007A4290" w:rsidP="570FD5C4">
      <w:pPr>
        <w:pStyle w:val="ListParagraph"/>
        <w:numPr>
          <w:ilvl w:val="0"/>
          <w:numId w:val="15"/>
        </w:numPr>
        <w:tabs>
          <w:tab w:val="left" w:pos="2925"/>
        </w:tabs>
        <w:ind w:left="315" w:hanging="284"/>
        <w:contextualSpacing w:val="0"/>
      </w:pPr>
      <w:r>
        <w:t>Is accountable and responsible for the effective management and use of human, financial and other resources within a set budget and resource parameters</w:t>
      </w:r>
    </w:p>
    <w:bookmarkEnd w:id="6"/>
    <w:p w14:paraId="6D893991" w14:textId="77777777" w:rsidR="001D133A" w:rsidRDefault="001D133A" w:rsidP="000C453F">
      <w:pPr>
        <w:pStyle w:val="Heading3"/>
      </w:pPr>
      <w:r w:rsidRPr="00C978B9">
        <w:t>Reporting line</w:t>
      </w:r>
    </w:p>
    <w:p w14:paraId="32AA2006" w14:textId="77777777" w:rsidR="00CB4A3E" w:rsidRDefault="00CB4A3E" w:rsidP="00CB4A3E">
      <w:r w:rsidRPr="00512A6D">
        <w:t xml:space="preserve">Deputy Secretary Energy, Climate Change and Sustainability </w:t>
      </w:r>
    </w:p>
    <w:p w14:paraId="70BD1036" w14:textId="77777777" w:rsidR="001D133A" w:rsidRDefault="001D133A" w:rsidP="000C453F">
      <w:pPr>
        <w:pStyle w:val="Heading3"/>
      </w:pPr>
      <w:r w:rsidRPr="00C978B9">
        <w:t>Direct reports</w:t>
      </w:r>
    </w:p>
    <w:p w14:paraId="749336C7" w14:textId="086901E8" w:rsidR="00BD054F" w:rsidRPr="00C978B9" w:rsidRDefault="0070432A" w:rsidP="00BD054F">
      <w:r>
        <w:t>5</w:t>
      </w:r>
      <w:r w:rsidR="0029638F">
        <w:t>–</w:t>
      </w:r>
      <w:r>
        <w:t xml:space="preserve">8 direct reports </w:t>
      </w:r>
    </w:p>
    <w:p w14:paraId="1D4D4BEE" w14:textId="77777777" w:rsidR="001D133A" w:rsidRDefault="001D133A" w:rsidP="000C453F">
      <w:pPr>
        <w:pStyle w:val="Heading3"/>
      </w:pPr>
      <w:r w:rsidRPr="00C978B9">
        <w:t>Budget/Expenditure</w:t>
      </w:r>
    </w:p>
    <w:p w14:paraId="00085EFF" w14:textId="144434EF" w:rsidR="00BD054F" w:rsidRPr="00C978B9" w:rsidRDefault="00B81651" w:rsidP="00BD054F">
      <w:bookmarkStart w:id="7" w:name="_Hlk40707470"/>
      <w:r>
        <w:t>$20-50m</w:t>
      </w:r>
    </w:p>
    <w:bookmarkEnd w:id="7"/>
    <w:p w14:paraId="25BD1C13" w14:textId="49EBC580" w:rsidR="001F56AF" w:rsidRDefault="001F56AF" w:rsidP="000C453F">
      <w:pPr>
        <w:pStyle w:val="Heading2"/>
      </w:pPr>
      <w:r>
        <w:t>Knowledge, Skills and Experience</w:t>
      </w:r>
    </w:p>
    <w:p w14:paraId="7504A374" w14:textId="13667B75" w:rsidR="001F56AF" w:rsidRDefault="001F56AF" w:rsidP="001F56AF">
      <w:pPr>
        <w:pStyle w:val="ListParagraph"/>
        <w:numPr>
          <w:ilvl w:val="0"/>
          <w:numId w:val="39"/>
        </w:numPr>
      </w:pPr>
      <w:r>
        <w:t>Extensive experience in managing and building</w:t>
      </w:r>
      <w:r w:rsidRPr="001F56AF">
        <w:t xml:space="preserve"> effective relationships and establish</w:t>
      </w:r>
      <w:r>
        <w:t>ing</w:t>
      </w:r>
      <w:r w:rsidRPr="001F56AF">
        <w:t xml:space="preserve"> strategic partnerships and networks with key stakeholders </w:t>
      </w:r>
      <w:r>
        <w:t xml:space="preserve">across all levels of government </w:t>
      </w:r>
    </w:p>
    <w:p w14:paraId="3628E1B2" w14:textId="20B4D497" w:rsidR="001F56AF" w:rsidRPr="001F56AF" w:rsidRDefault="001F56AF" w:rsidP="001F56AF">
      <w:pPr>
        <w:pStyle w:val="ListParagraph"/>
        <w:numPr>
          <w:ilvl w:val="0"/>
          <w:numId w:val="39"/>
        </w:numPr>
      </w:pPr>
      <w:r>
        <w:t xml:space="preserve">Extensive experience in leading policy and strategy formulation and the provision of </w:t>
      </w:r>
      <w:proofErr w:type="gramStart"/>
      <w:r>
        <w:t>high level</w:t>
      </w:r>
      <w:proofErr w:type="gramEnd"/>
      <w:r>
        <w:t xml:space="preserve"> cogent advice to government</w:t>
      </w:r>
    </w:p>
    <w:p w14:paraId="77571C88" w14:textId="76EAB8B6" w:rsidR="001D133A" w:rsidRDefault="001D133A" w:rsidP="000C453F">
      <w:pPr>
        <w:pStyle w:val="Heading2"/>
      </w:pPr>
      <w:r w:rsidRPr="00C978B9">
        <w:t>Essential requir</w:t>
      </w:r>
      <w:r w:rsidR="00E31CD3" w:rsidRPr="00C978B9">
        <w:t>e</w:t>
      </w:r>
      <w:r w:rsidRPr="00C978B9">
        <w:t>ments</w:t>
      </w:r>
    </w:p>
    <w:p w14:paraId="7E510A03" w14:textId="77777777" w:rsidR="005D6635" w:rsidRDefault="005D6635" w:rsidP="001F56AF">
      <w:pPr>
        <w:pStyle w:val="ListBullet"/>
        <w:numPr>
          <w:ilvl w:val="0"/>
          <w:numId w:val="40"/>
        </w:numPr>
      </w:pPr>
      <w:bookmarkStart w:id="8" w:name="_Hlk36203683"/>
      <w:bookmarkStart w:id="9" w:name="_Hlk36565316"/>
      <w:bookmarkStart w:id="10" w:name="_Hlk36209343"/>
      <w:bookmarkStart w:id="11" w:name="_Hlk36710441"/>
      <w:bookmarkStart w:id="12" w:name="_Hlk36722467"/>
      <w:bookmarkStart w:id="13" w:name="_Hlk40182787"/>
      <w:bookmarkStart w:id="14" w:name="_Hlk17375576"/>
      <w:bookmarkStart w:id="15" w:name="_Hlk36397202"/>
      <w:r w:rsidRPr="00D87F44">
        <w:t xml:space="preserve">Tertiary qualifications in a relevant discipline or equivalent relevant experience </w:t>
      </w:r>
    </w:p>
    <w:bookmarkEnd w:id="8"/>
    <w:bookmarkEnd w:id="9"/>
    <w:bookmarkEnd w:id="10"/>
    <w:bookmarkEnd w:id="11"/>
    <w:bookmarkEnd w:id="12"/>
    <w:bookmarkEnd w:id="13"/>
    <w:bookmarkEnd w:id="14"/>
    <w:bookmarkEnd w:id="15"/>
    <w:p w14:paraId="4A52A073" w14:textId="77777777" w:rsidR="004B1021" w:rsidRPr="004B1021" w:rsidRDefault="004B1021" w:rsidP="004B1021">
      <w:pPr>
        <w:keepNext/>
        <w:spacing w:before="360" w:after="120"/>
        <w:outlineLvl w:val="1"/>
        <w:rPr>
          <w:rFonts w:cs="Arial"/>
          <w:b/>
          <w:bCs/>
          <w:iCs/>
          <w:sz w:val="26"/>
          <w:szCs w:val="28"/>
        </w:rPr>
      </w:pPr>
      <w:r w:rsidRPr="004B1021">
        <w:rPr>
          <w:rFonts w:cs="Arial"/>
          <w:b/>
          <w:bCs/>
          <w:iCs/>
          <w:sz w:val="26"/>
          <w:szCs w:val="28"/>
        </w:rPr>
        <w:t>Capabilities for the role</w:t>
      </w:r>
    </w:p>
    <w:p w14:paraId="5EE23610" w14:textId="77777777" w:rsidR="004B1021" w:rsidRPr="004B1021" w:rsidRDefault="004B1021" w:rsidP="004B1021">
      <w:r w:rsidRPr="004B1021">
        <w:t xml:space="preserve">The </w:t>
      </w:r>
      <w:hyperlink r:id="rId13" w:history="1">
        <w:r w:rsidRPr="004B1021">
          <w:rPr>
            <w:color w:val="0000FF" w:themeColor="hyperlink"/>
            <w:sz w:val="20"/>
            <w:u w:val="single"/>
          </w:rPr>
          <w:t>NSW public sector capability framework</w:t>
        </w:r>
      </w:hyperlink>
      <w:r w:rsidRPr="004B1021">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740FF4C" w14:textId="448FC26F" w:rsidR="004B1021" w:rsidRPr="004B1021" w:rsidRDefault="004B1021" w:rsidP="004B1021">
      <w:r w:rsidRPr="004B1021">
        <w:t xml:space="preserve">The capabilities are separated into </w:t>
      </w:r>
      <w:r w:rsidRPr="001123D7">
        <w:rPr>
          <w:b/>
          <w:bCs/>
        </w:rPr>
        <w:t>focus</w:t>
      </w:r>
      <w:r w:rsidRPr="004B1021">
        <w:t xml:space="preserve"> capabilities and </w:t>
      </w:r>
      <w:r w:rsidRPr="001123D7">
        <w:rPr>
          <w:b/>
          <w:bCs/>
        </w:rPr>
        <w:t>complementary</w:t>
      </w:r>
      <w:r w:rsidRPr="004B1021">
        <w:t xml:space="preserve"> capabilities</w:t>
      </w:r>
      <w:r w:rsidR="001123D7">
        <w:t>.</w:t>
      </w:r>
    </w:p>
    <w:p w14:paraId="038EC747" w14:textId="77777777" w:rsidR="004B1021" w:rsidRPr="004B1021" w:rsidRDefault="004B1021" w:rsidP="004B1021">
      <w:pPr>
        <w:keepNext/>
        <w:spacing w:before="360" w:after="120"/>
        <w:outlineLvl w:val="1"/>
        <w:rPr>
          <w:rFonts w:cs="Arial"/>
          <w:b/>
          <w:bCs/>
          <w:iCs/>
          <w:sz w:val="26"/>
          <w:szCs w:val="28"/>
        </w:rPr>
      </w:pPr>
      <w:r w:rsidRPr="004B1021">
        <w:rPr>
          <w:rFonts w:cs="Arial"/>
          <w:b/>
          <w:bCs/>
          <w:iCs/>
          <w:sz w:val="26"/>
          <w:szCs w:val="28"/>
        </w:rPr>
        <w:t>Focus capabilities</w:t>
      </w:r>
      <w:r w:rsidRPr="004B1021">
        <w:rPr>
          <w:rFonts w:cs="Arial"/>
          <w:b/>
          <w:bCs/>
          <w:iCs/>
          <w:sz w:val="26"/>
          <w:szCs w:val="28"/>
        </w:rPr>
        <w:tab/>
      </w:r>
    </w:p>
    <w:p w14:paraId="177F98E8" w14:textId="77777777" w:rsidR="004B1021" w:rsidRPr="001123D7" w:rsidRDefault="004B1021" w:rsidP="004B1021">
      <w:pPr>
        <w:spacing w:before="62" w:line="276" w:lineRule="auto"/>
        <w:rPr>
          <w:rFonts w:eastAsiaTheme="minorEastAsia"/>
          <w:szCs w:val="24"/>
          <w:lang w:val="en-US"/>
        </w:rPr>
      </w:pPr>
      <w:r w:rsidRPr="001123D7">
        <w:rPr>
          <w:rFonts w:eastAsiaTheme="minorEastAsia"/>
          <w:i/>
          <w:szCs w:val="24"/>
          <w:lang w:val="en-US"/>
        </w:rPr>
        <w:t>Focus capabilities</w:t>
      </w:r>
      <w:r w:rsidRPr="001123D7">
        <w:rPr>
          <w:rFonts w:eastAsiaTheme="minorEastAsia"/>
          <w:szCs w:val="24"/>
          <w:lang w:val="en-US"/>
        </w:rPr>
        <w:t xml:space="preserve"> are the capabilities considered the most important for effective performance of the role. These capabilities will be assessed at recruitment. </w:t>
      </w:r>
    </w:p>
    <w:p w14:paraId="1519B2E8" w14:textId="77777777" w:rsidR="004B1021" w:rsidRPr="001123D7" w:rsidRDefault="004B1021" w:rsidP="004B1021">
      <w:pPr>
        <w:spacing w:before="62" w:line="276" w:lineRule="auto"/>
        <w:rPr>
          <w:rFonts w:eastAsiaTheme="minorEastAsia"/>
          <w:szCs w:val="24"/>
          <w:lang w:val="en-US"/>
        </w:rPr>
      </w:pPr>
      <w:r w:rsidRPr="001123D7">
        <w:rPr>
          <w:rFonts w:eastAsiaTheme="minorEastAsia"/>
          <w:szCs w:val="24"/>
          <w:lang w:val="en-US"/>
        </w:rPr>
        <w:lastRenderedPageBreak/>
        <w:t xml:space="preserve">The focus capabilities for this role are shown below with a brief explanation of what each capability covers and the indicators describing the types of </w:t>
      </w:r>
      <w:proofErr w:type="spellStart"/>
      <w:r w:rsidRPr="001123D7">
        <w:rPr>
          <w:rFonts w:eastAsiaTheme="minorEastAsia"/>
          <w:szCs w:val="24"/>
          <w:lang w:val="en-US"/>
        </w:rPr>
        <w:t>behaviours</w:t>
      </w:r>
      <w:proofErr w:type="spellEnd"/>
      <w:r w:rsidRPr="001123D7">
        <w:rPr>
          <w:rFonts w:eastAsiaTheme="minorEastAsia"/>
          <w:szCs w:val="24"/>
          <w:lang w:val="en-US"/>
        </w:rPr>
        <w:t xml:space="preserve"> expected at each level.</w:t>
      </w:r>
    </w:p>
    <w:p w14:paraId="15F131B8" w14:textId="77777777" w:rsidR="004B1021" w:rsidRPr="004B1021" w:rsidRDefault="004B1021" w:rsidP="004B1021">
      <w:pPr>
        <w:keepNext/>
        <w:spacing w:before="360" w:after="120"/>
        <w:outlineLvl w:val="1"/>
        <w:rPr>
          <w:rFonts w:cs="Arial"/>
          <w:b/>
          <w:bCs/>
          <w:iCs/>
          <w:sz w:val="26"/>
          <w:szCs w:val="28"/>
        </w:rPr>
      </w:pPr>
      <w:r w:rsidRPr="004B1021">
        <w:rPr>
          <w:rFonts w:cs="Arial"/>
          <w:b/>
          <w:bCs/>
          <w:iCs/>
          <w:sz w:val="26"/>
          <w:szCs w:val="28"/>
        </w:rPr>
        <w:t>Focus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4B1021" w:rsidRPr="004B1021" w14:paraId="335458AE" w14:textId="77777777" w:rsidTr="00600F29">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610D259A" w14:textId="77777777" w:rsidR="004B1021" w:rsidRPr="004B1021" w:rsidRDefault="004B1021" w:rsidP="004B1021">
            <w:pPr>
              <w:rPr>
                <w:sz w:val="20"/>
              </w:rPr>
            </w:pPr>
            <w:r w:rsidRPr="004B1021">
              <w:rPr>
                <w:b/>
                <w:sz w:val="20"/>
              </w:rPr>
              <w:t>Capability group/sets</w:t>
            </w:r>
          </w:p>
        </w:tc>
        <w:tc>
          <w:tcPr>
            <w:tcW w:w="2726" w:type="dxa"/>
            <w:shd w:val="clear" w:color="auto" w:fill="BFBFBF" w:themeFill="background1" w:themeFillShade="BF"/>
          </w:tcPr>
          <w:p w14:paraId="506862E8" w14:textId="77777777" w:rsidR="004B1021" w:rsidRPr="004B1021" w:rsidRDefault="004B1021" w:rsidP="004B1021">
            <w:pPr>
              <w:rPr>
                <w:sz w:val="20"/>
              </w:rPr>
            </w:pPr>
            <w:r w:rsidRPr="004B1021">
              <w:rPr>
                <w:b/>
                <w:sz w:val="20"/>
              </w:rPr>
              <w:t>Capability name</w:t>
            </w:r>
          </w:p>
        </w:tc>
        <w:tc>
          <w:tcPr>
            <w:tcW w:w="4709" w:type="dxa"/>
            <w:shd w:val="clear" w:color="auto" w:fill="BFBFBF" w:themeFill="background1" w:themeFillShade="BF"/>
          </w:tcPr>
          <w:p w14:paraId="4FA72F94" w14:textId="77777777" w:rsidR="004B1021" w:rsidRPr="004B1021" w:rsidRDefault="004B1021" w:rsidP="004B1021">
            <w:pPr>
              <w:rPr>
                <w:sz w:val="20"/>
              </w:rPr>
            </w:pPr>
            <w:r w:rsidRPr="004B1021">
              <w:rPr>
                <w:b/>
                <w:sz w:val="20"/>
              </w:rPr>
              <w:t>Behavioural indicators</w:t>
            </w:r>
          </w:p>
        </w:tc>
        <w:tc>
          <w:tcPr>
            <w:tcW w:w="1668" w:type="dxa"/>
            <w:shd w:val="clear" w:color="auto" w:fill="BFBFBF" w:themeFill="background1" w:themeFillShade="BF"/>
          </w:tcPr>
          <w:p w14:paraId="5BD91DAD" w14:textId="77777777" w:rsidR="004B1021" w:rsidRPr="004B1021" w:rsidRDefault="004B1021" w:rsidP="004B1021">
            <w:pPr>
              <w:rPr>
                <w:b/>
                <w:bCs/>
                <w:sz w:val="20"/>
              </w:rPr>
            </w:pPr>
            <w:r w:rsidRPr="004B1021">
              <w:rPr>
                <w:b/>
                <w:bCs/>
                <w:sz w:val="20"/>
              </w:rPr>
              <w:t>Level</w:t>
            </w:r>
          </w:p>
        </w:tc>
      </w:tr>
      <w:tr w:rsidR="004B1021" w:rsidRPr="004B1021" w14:paraId="726DC2C2" w14:textId="77777777" w:rsidTr="00600F29">
        <w:trPr>
          <w:cantSplit/>
        </w:trPr>
        <w:tc>
          <w:tcPr>
            <w:tcW w:w="1385" w:type="dxa"/>
          </w:tcPr>
          <w:p w14:paraId="45DAD517" w14:textId="77777777" w:rsidR="004B1021" w:rsidRPr="004B1021" w:rsidRDefault="004B1021" w:rsidP="004B1021">
            <w:pPr>
              <w:jc w:val="center"/>
              <w:rPr>
                <w:noProof/>
                <w:sz w:val="20"/>
                <w:lang w:eastAsia="en-AU"/>
              </w:rPr>
            </w:pPr>
            <w:r w:rsidRPr="004B1021">
              <w:rPr>
                <w:noProof/>
                <w:sz w:val="20"/>
                <w:lang w:eastAsia="en-AU"/>
              </w:rPr>
              <w:drawing>
                <wp:inline distT="0" distB="0" distL="0" distR="0" wp14:anchorId="6FD94996" wp14:editId="7DE8FD25">
                  <wp:extent cx="749300" cy="749300"/>
                  <wp:effectExtent l="0" t="0" r="0" b="0"/>
                  <wp:docPr id="521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72DB0F0" w14:textId="77777777" w:rsidR="004B1021" w:rsidRPr="004B1021" w:rsidRDefault="004B1021" w:rsidP="004B1021">
            <w:pPr>
              <w:rPr>
                <w:rFonts w:cs="Arial"/>
                <w:color w:val="000000"/>
                <w:sz w:val="20"/>
              </w:rPr>
            </w:pPr>
            <w:r w:rsidRPr="004B1021">
              <w:rPr>
                <w:rFonts w:cs="Arial"/>
                <w:b/>
                <w:bCs/>
                <w:color w:val="000000"/>
                <w:sz w:val="20"/>
              </w:rPr>
              <w:t>Display Resilience and Courage</w:t>
            </w:r>
          </w:p>
          <w:p w14:paraId="2EE9E25F" w14:textId="77777777" w:rsidR="004B1021" w:rsidRPr="004B1021" w:rsidRDefault="004B1021" w:rsidP="004B1021">
            <w:pPr>
              <w:rPr>
                <w:rFonts w:cs="Arial"/>
                <w:color w:val="000000"/>
                <w:sz w:val="20"/>
              </w:rPr>
            </w:pPr>
            <w:r w:rsidRPr="004B1021">
              <w:rPr>
                <w:rFonts w:cs="Arial"/>
                <w:color w:val="000000"/>
                <w:sz w:val="20"/>
              </w:rPr>
              <w:t>Be open and honest, prepared to express your views, and willing to accept and commit to change</w:t>
            </w:r>
          </w:p>
        </w:tc>
        <w:tc>
          <w:tcPr>
            <w:tcW w:w="4709" w:type="dxa"/>
          </w:tcPr>
          <w:p w14:paraId="5D9E21AA" w14:textId="77777777" w:rsidR="004B1021" w:rsidRPr="00802A27" w:rsidRDefault="004B1021" w:rsidP="00802A27">
            <w:pPr>
              <w:pStyle w:val="ListParagraph"/>
              <w:numPr>
                <w:ilvl w:val="0"/>
                <w:numId w:val="17"/>
              </w:numPr>
              <w:spacing w:after="0" w:line="280" w:lineRule="atLeast"/>
              <w:ind w:left="366"/>
              <w:rPr>
                <w:sz w:val="20"/>
              </w:rPr>
            </w:pPr>
            <w:r w:rsidRPr="00802A27">
              <w:rPr>
                <w:sz w:val="20"/>
              </w:rPr>
              <w:t>Create a culture that encourages and supports openness, persistence and genuine debate around critical issues</w:t>
            </w:r>
          </w:p>
          <w:p w14:paraId="167E57B8" w14:textId="77777777" w:rsidR="004B1021" w:rsidRPr="004B1021" w:rsidRDefault="004B1021" w:rsidP="00802A27">
            <w:pPr>
              <w:numPr>
                <w:ilvl w:val="0"/>
                <w:numId w:val="17"/>
              </w:numPr>
              <w:spacing w:after="0" w:line="280" w:lineRule="atLeast"/>
              <w:ind w:left="366"/>
              <w:rPr>
                <w:sz w:val="20"/>
              </w:rPr>
            </w:pPr>
            <w:r w:rsidRPr="004B1021">
              <w:rPr>
                <w:sz w:val="20"/>
              </w:rPr>
              <w:t>Provide clear exposition and argument for agreed positions while remaining open to valid suggestions for change</w:t>
            </w:r>
          </w:p>
          <w:p w14:paraId="07F7E2F9" w14:textId="77777777" w:rsidR="004B1021" w:rsidRPr="004B1021" w:rsidRDefault="004B1021" w:rsidP="00802A27">
            <w:pPr>
              <w:numPr>
                <w:ilvl w:val="0"/>
                <w:numId w:val="17"/>
              </w:numPr>
              <w:spacing w:after="0" w:line="280" w:lineRule="atLeast"/>
              <w:ind w:left="366"/>
              <w:rPr>
                <w:sz w:val="20"/>
              </w:rPr>
            </w:pPr>
            <w:r w:rsidRPr="004B1021">
              <w:rPr>
                <w:sz w:val="20"/>
              </w:rPr>
              <w:t>Raise critical issues and make tough decisions</w:t>
            </w:r>
          </w:p>
          <w:p w14:paraId="4BCB159E" w14:textId="77777777" w:rsidR="004B1021" w:rsidRPr="004B1021" w:rsidRDefault="004B1021" w:rsidP="00802A27">
            <w:pPr>
              <w:numPr>
                <w:ilvl w:val="0"/>
                <w:numId w:val="17"/>
              </w:numPr>
              <w:spacing w:after="0" w:line="280" w:lineRule="atLeast"/>
              <w:ind w:left="366"/>
              <w:rPr>
                <w:sz w:val="20"/>
              </w:rPr>
            </w:pPr>
            <w:r w:rsidRPr="004B1021">
              <w:rPr>
                <w:sz w:val="20"/>
              </w:rPr>
              <w:t>Respond to significant, complex and novel challenges with a high level of resilience and persistence</w:t>
            </w:r>
          </w:p>
          <w:p w14:paraId="490919DA" w14:textId="77777777" w:rsidR="004B1021" w:rsidRPr="004B1021" w:rsidRDefault="004B1021" w:rsidP="00802A27">
            <w:pPr>
              <w:numPr>
                <w:ilvl w:val="0"/>
                <w:numId w:val="17"/>
              </w:numPr>
              <w:spacing w:after="0" w:line="280" w:lineRule="atLeast"/>
              <w:ind w:left="366"/>
              <w:rPr>
                <w:sz w:val="20"/>
              </w:rPr>
            </w:pPr>
            <w:r w:rsidRPr="004B1021">
              <w:rPr>
                <w:sz w:val="20"/>
              </w:rPr>
              <w:t>Consistently use a range of strategies to remain composed and calm and act as a stabilising influence even in the most challenging situations</w:t>
            </w:r>
          </w:p>
        </w:tc>
        <w:tc>
          <w:tcPr>
            <w:tcW w:w="1668" w:type="dxa"/>
          </w:tcPr>
          <w:p w14:paraId="7D3196A9" w14:textId="77777777" w:rsidR="004B1021" w:rsidRPr="004B1021" w:rsidRDefault="004B1021" w:rsidP="004B1021">
            <w:pPr>
              <w:spacing w:before="40" w:after="40" w:line="280" w:lineRule="atLeast"/>
              <w:rPr>
                <w:sz w:val="20"/>
              </w:rPr>
            </w:pPr>
            <w:r w:rsidRPr="004B1021">
              <w:rPr>
                <w:sz w:val="20"/>
              </w:rPr>
              <w:t>Highly Advanced</w:t>
            </w:r>
          </w:p>
        </w:tc>
      </w:tr>
      <w:tr w:rsidR="004B1021" w:rsidRPr="004B1021" w14:paraId="110C0593" w14:textId="77777777" w:rsidTr="00600F29">
        <w:trPr>
          <w:cantSplit/>
        </w:trPr>
        <w:tc>
          <w:tcPr>
            <w:tcW w:w="1385" w:type="dxa"/>
          </w:tcPr>
          <w:p w14:paraId="77D585EF" w14:textId="77777777" w:rsidR="004B1021" w:rsidRPr="004B1021" w:rsidRDefault="004B1021" w:rsidP="004B1021">
            <w:pPr>
              <w:jc w:val="center"/>
              <w:rPr>
                <w:noProof/>
                <w:sz w:val="20"/>
                <w:lang w:eastAsia="en-AU"/>
              </w:rPr>
            </w:pPr>
            <w:r w:rsidRPr="004B1021">
              <w:rPr>
                <w:noProof/>
                <w:sz w:val="20"/>
                <w:lang w:eastAsia="en-AU"/>
              </w:rPr>
              <w:drawing>
                <wp:inline distT="0" distB="0" distL="0" distR="0" wp14:anchorId="6E4465CE" wp14:editId="5102894B">
                  <wp:extent cx="749300" cy="749300"/>
                  <wp:effectExtent l="0" t="0" r="0" b="0"/>
                  <wp:docPr id="8802"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5800C99" w14:textId="77777777" w:rsidR="004B1021" w:rsidRPr="004B1021" w:rsidRDefault="004B1021" w:rsidP="004B1021">
            <w:pPr>
              <w:rPr>
                <w:rFonts w:cs="Arial"/>
                <w:color w:val="000000"/>
                <w:sz w:val="20"/>
              </w:rPr>
            </w:pPr>
            <w:r w:rsidRPr="004B1021">
              <w:rPr>
                <w:rFonts w:cs="Arial"/>
                <w:b/>
                <w:bCs/>
                <w:color w:val="000000"/>
                <w:sz w:val="20"/>
              </w:rPr>
              <w:t>Act with Integrity</w:t>
            </w:r>
          </w:p>
          <w:p w14:paraId="2C701D47" w14:textId="77777777" w:rsidR="004B1021" w:rsidRPr="004B1021" w:rsidRDefault="004B1021" w:rsidP="004B1021">
            <w:pPr>
              <w:rPr>
                <w:rFonts w:cs="Arial"/>
                <w:color w:val="000000"/>
                <w:sz w:val="20"/>
              </w:rPr>
            </w:pPr>
            <w:r w:rsidRPr="004B1021">
              <w:rPr>
                <w:rFonts w:cs="Arial"/>
                <w:color w:val="000000"/>
                <w:sz w:val="20"/>
              </w:rPr>
              <w:t>Be ethical and professional, and uphold and promote the public sector values</w:t>
            </w:r>
          </w:p>
        </w:tc>
        <w:tc>
          <w:tcPr>
            <w:tcW w:w="4709" w:type="dxa"/>
          </w:tcPr>
          <w:p w14:paraId="64200282"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Model the highest standards of ethical and professional behaviour and reinforce their use</w:t>
            </w:r>
          </w:p>
          <w:p w14:paraId="3B0D2DA3"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Represent the organisation in an honest, ethical and professional way and set an example for others to follow</w:t>
            </w:r>
          </w:p>
          <w:p w14:paraId="039C9C16"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Promote a culture of integrity and professionalism within the organisation and in dealings external to government</w:t>
            </w:r>
          </w:p>
          <w:p w14:paraId="2A1CB19D"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Monitor ethical practices, standards and systems and reinforce their use</w:t>
            </w:r>
          </w:p>
          <w:p w14:paraId="29D6A1AA"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Act promptly on reported breaches of legislation, policies and guidelines</w:t>
            </w:r>
          </w:p>
        </w:tc>
        <w:tc>
          <w:tcPr>
            <w:tcW w:w="1668" w:type="dxa"/>
          </w:tcPr>
          <w:p w14:paraId="2A04B121" w14:textId="77777777" w:rsidR="004B1021" w:rsidRPr="004B1021" w:rsidRDefault="004B1021" w:rsidP="004B1021">
            <w:pPr>
              <w:spacing w:before="40" w:after="40" w:line="280" w:lineRule="atLeast"/>
              <w:rPr>
                <w:sz w:val="20"/>
              </w:rPr>
            </w:pPr>
            <w:r w:rsidRPr="004B1021">
              <w:rPr>
                <w:sz w:val="20"/>
              </w:rPr>
              <w:t>Advanced</w:t>
            </w:r>
          </w:p>
        </w:tc>
      </w:tr>
      <w:tr w:rsidR="004B1021" w:rsidRPr="004B1021" w14:paraId="33C7A4F9" w14:textId="77777777" w:rsidTr="00600F29">
        <w:trPr>
          <w:cantSplit/>
        </w:trPr>
        <w:tc>
          <w:tcPr>
            <w:tcW w:w="1385" w:type="dxa"/>
          </w:tcPr>
          <w:p w14:paraId="153E8FED" w14:textId="77777777" w:rsidR="004B1021" w:rsidRPr="004B1021" w:rsidRDefault="004B1021" w:rsidP="004B1021">
            <w:pPr>
              <w:jc w:val="center"/>
              <w:rPr>
                <w:noProof/>
                <w:sz w:val="20"/>
                <w:lang w:eastAsia="en-AU"/>
              </w:rPr>
            </w:pPr>
            <w:r w:rsidRPr="004B1021">
              <w:rPr>
                <w:noProof/>
                <w:sz w:val="20"/>
                <w:lang w:eastAsia="en-AU"/>
              </w:rPr>
              <w:drawing>
                <wp:inline distT="0" distB="0" distL="0" distR="0" wp14:anchorId="6959ED04" wp14:editId="39E6AC70">
                  <wp:extent cx="749300" cy="749300"/>
                  <wp:effectExtent l="0" t="0" r="0" b="0"/>
                  <wp:docPr id="239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C24416E" w14:textId="77777777" w:rsidR="004B1021" w:rsidRPr="004B1021" w:rsidRDefault="004B1021" w:rsidP="004B1021">
            <w:pPr>
              <w:rPr>
                <w:rFonts w:cs="Arial"/>
                <w:color w:val="000000"/>
                <w:sz w:val="20"/>
              </w:rPr>
            </w:pPr>
            <w:r w:rsidRPr="004B1021">
              <w:rPr>
                <w:rFonts w:cs="Arial"/>
                <w:b/>
                <w:bCs/>
                <w:color w:val="000000"/>
                <w:sz w:val="20"/>
              </w:rPr>
              <w:t>Communicate Effectively</w:t>
            </w:r>
          </w:p>
          <w:p w14:paraId="35EED3A1" w14:textId="77777777" w:rsidR="004B1021" w:rsidRPr="004B1021" w:rsidRDefault="004B1021" w:rsidP="004B1021">
            <w:pPr>
              <w:rPr>
                <w:rFonts w:cs="Arial"/>
                <w:color w:val="000000"/>
                <w:sz w:val="20"/>
              </w:rPr>
            </w:pPr>
            <w:r w:rsidRPr="004B1021">
              <w:rPr>
                <w:rFonts w:cs="Arial"/>
                <w:color w:val="000000"/>
                <w:sz w:val="20"/>
              </w:rPr>
              <w:t>Communicate clearly, actively listen to others, and respond with understanding and respect</w:t>
            </w:r>
          </w:p>
        </w:tc>
        <w:tc>
          <w:tcPr>
            <w:tcW w:w="4709" w:type="dxa"/>
          </w:tcPr>
          <w:p w14:paraId="2639A9F2"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Articulate complex concepts and put forward compelling arguments and rationales to all levels and types of audiences</w:t>
            </w:r>
          </w:p>
          <w:p w14:paraId="0D397652"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Speak in a highly articulate and influential manner</w:t>
            </w:r>
          </w:p>
          <w:p w14:paraId="707CCD40"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State the facts and explain their implications for the organisation and key stakeholders</w:t>
            </w:r>
          </w:p>
          <w:p w14:paraId="7EDB098E"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Promote the organisation’s position with authority and credibility across government, other jurisdictions and external organisations</w:t>
            </w:r>
          </w:p>
          <w:p w14:paraId="340A8FC9"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Anticipate and address key areas of interest for the audience and adapt style under pressure</w:t>
            </w:r>
          </w:p>
        </w:tc>
        <w:tc>
          <w:tcPr>
            <w:tcW w:w="1668" w:type="dxa"/>
          </w:tcPr>
          <w:p w14:paraId="143AEDF6" w14:textId="77777777" w:rsidR="004B1021" w:rsidRPr="004B1021" w:rsidRDefault="004B1021" w:rsidP="004B1021">
            <w:pPr>
              <w:spacing w:before="40" w:after="40" w:line="280" w:lineRule="atLeast"/>
              <w:rPr>
                <w:sz w:val="20"/>
              </w:rPr>
            </w:pPr>
            <w:r w:rsidRPr="004B1021">
              <w:rPr>
                <w:sz w:val="20"/>
              </w:rPr>
              <w:t>Highly Advanced</w:t>
            </w:r>
          </w:p>
        </w:tc>
      </w:tr>
      <w:tr w:rsidR="004B1021" w:rsidRPr="004B1021" w14:paraId="3239E872" w14:textId="77777777" w:rsidTr="00600F29">
        <w:trPr>
          <w:cantSplit/>
        </w:trPr>
        <w:tc>
          <w:tcPr>
            <w:tcW w:w="1385" w:type="dxa"/>
          </w:tcPr>
          <w:p w14:paraId="0D10BD8D" w14:textId="77777777" w:rsidR="004B1021" w:rsidRPr="004B1021" w:rsidRDefault="004B1021" w:rsidP="004B1021">
            <w:pPr>
              <w:jc w:val="center"/>
              <w:rPr>
                <w:noProof/>
                <w:sz w:val="20"/>
                <w:lang w:eastAsia="en-AU"/>
              </w:rPr>
            </w:pPr>
            <w:r w:rsidRPr="004B1021">
              <w:rPr>
                <w:noProof/>
                <w:sz w:val="20"/>
                <w:lang w:eastAsia="en-AU"/>
              </w:rPr>
              <w:lastRenderedPageBreak/>
              <w:drawing>
                <wp:inline distT="0" distB="0" distL="0" distR="0" wp14:anchorId="6172136F" wp14:editId="706085DA">
                  <wp:extent cx="749300" cy="749300"/>
                  <wp:effectExtent l="0" t="0" r="0" b="0"/>
                  <wp:docPr id="76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6447C93" w14:textId="77777777" w:rsidR="004B1021" w:rsidRPr="004B1021" w:rsidRDefault="004B1021" w:rsidP="004B1021">
            <w:pPr>
              <w:rPr>
                <w:rFonts w:cs="Arial"/>
                <w:color w:val="000000"/>
                <w:sz w:val="20"/>
              </w:rPr>
            </w:pPr>
            <w:r w:rsidRPr="004B1021">
              <w:rPr>
                <w:rFonts w:cs="Arial"/>
                <w:b/>
                <w:bCs/>
                <w:color w:val="000000"/>
                <w:sz w:val="20"/>
              </w:rPr>
              <w:t>Work Collaboratively</w:t>
            </w:r>
          </w:p>
          <w:p w14:paraId="1C6BEFA4" w14:textId="77777777" w:rsidR="004B1021" w:rsidRPr="004B1021" w:rsidRDefault="004B1021" w:rsidP="004B1021">
            <w:pPr>
              <w:rPr>
                <w:rFonts w:cs="Arial"/>
                <w:color w:val="000000"/>
                <w:sz w:val="20"/>
              </w:rPr>
            </w:pPr>
            <w:r w:rsidRPr="004B1021">
              <w:rPr>
                <w:rFonts w:cs="Arial"/>
                <w:color w:val="000000"/>
                <w:sz w:val="20"/>
              </w:rPr>
              <w:t>Collaborate with others and value their contribution</w:t>
            </w:r>
          </w:p>
        </w:tc>
        <w:tc>
          <w:tcPr>
            <w:tcW w:w="4709" w:type="dxa"/>
          </w:tcPr>
          <w:p w14:paraId="73D5310E"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Establish a culture and supporting systems that facilitate information sharing, communication and learning across the sector</w:t>
            </w:r>
          </w:p>
          <w:p w14:paraId="54C7D50E"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Publicly celebrate the successful outcomes of collaboration</w:t>
            </w:r>
          </w:p>
          <w:p w14:paraId="11455461"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Seek out and facilitate opportunities to engage and collaborate with stakeholders to develop solutions across the organisation, government and other jurisdictions</w:t>
            </w:r>
          </w:p>
          <w:p w14:paraId="2BC2BBFF"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Identify and overcome barriers to collaboration with internal and external stakeholders</w:t>
            </w:r>
          </w:p>
        </w:tc>
        <w:tc>
          <w:tcPr>
            <w:tcW w:w="1668" w:type="dxa"/>
          </w:tcPr>
          <w:p w14:paraId="68B2E64C" w14:textId="77777777" w:rsidR="004B1021" w:rsidRPr="004B1021" w:rsidRDefault="004B1021" w:rsidP="004B1021">
            <w:pPr>
              <w:spacing w:before="40" w:after="40" w:line="280" w:lineRule="atLeast"/>
              <w:rPr>
                <w:sz w:val="20"/>
              </w:rPr>
            </w:pPr>
            <w:r w:rsidRPr="004B1021">
              <w:rPr>
                <w:sz w:val="20"/>
              </w:rPr>
              <w:t>Highly Advanced</w:t>
            </w:r>
          </w:p>
        </w:tc>
      </w:tr>
      <w:tr w:rsidR="004B1021" w:rsidRPr="004B1021" w14:paraId="6C7491A4" w14:textId="77777777" w:rsidTr="00600F29">
        <w:trPr>
          <w:cantSplit/>
        </w:trPr>
        <w:tc>
          <w:tcPr>
            <w:tcW w:w="1385" w:type="dxa"/>
          </w:tcPr>
          <w:p w14:paraId="72973A66" w14:textId="77777777" w:rsidR="004B1021" w:rsidRPr="004B1021" w:rsidRDefault="004B1021" w:rsidP="004B1021">
            <w:pPr>
              <w:jc w:val="center"/>
              <w:rPr>
                <w:noProof/>
                <w:sz w:val="20"/>
                <w:lang w:eastAsia="en-AU"/>
              </w:rPr>
            </w:pPr>
            <w:r w:rsidRPr="004B1021">
              <w:rPr>
                <w:noProof/>
                <w:sz w:val="20"/>
                <w:lang w:eastAsia="en-AU"/>
              </w:rPr>
              <w:drawing>
                <wp:inline distT="0" distB="0" distL="0" distR="0" wp14:anchorId="41FBF80D" wp14:editId="7A67EE4D">
                  <wp:extent cx="749300" cy="749300"/>
                  <wp:effectExtent l="0" t="0" r="0" b="0"/>
                  <wp:docPr id="434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EA844DB" w14:textId="77777777" w:rsidR="004B1021" w:rsidRPr="004B1021" w:rsidRDefault="004B1021" w:rsidP="004B1021">
            <w:pPr>
              <w:rPr>
                <w:rFonts w:cs="Arial"/>
                <w:color w:val="000000"/>
                <w:sz w:val="20"/>
              </w:rPr>
            </w:pPr>
            <w:r w:rsidRPr="004B1021">
              <w:rPr>
                <w:rFonts w:cs="Arial"/>
                <w:b/>
                <w:bCs/>
                <w:color w:val="000000"/>
                <w:sz w:val="20"/>
              </w:rPr>
              <w:t>Deliver Results</w:t>
            </w:r>
          </w:p>
          <w:p w14:paraId="08664B52" w14:textId="77777777" w:rsidR="004B1021" w:rsidRPr="004B1021" w:rsidRDefault="004B1021" w:rsidP="004B1021">
            <w:pPr>
              <w:rPr>
                <w:rFonts w:cs="Arial"/>
                <w:color w:val="000000"/>
                <w:sz w:val="20"/>
              </w:rPr>
            </w:pPr>
            <w:r w:rsidRPr="004B1021">
              <w:rPr>
                <w:rFonts w:cs="Arial"/>
                <w:color w:val="000000"/>
                <w:sz w:val="20"/>
              </w:rPr>
              <w:t>Achieve results through the efficient use of resources and a commitment to quality outcomes</w:t>
            </w:r>
          </w:p>
        </w:tc>
        <w:tc>
          <w:tcPr>
            <w:tcW w:w="4709" w:type="dxa"/>
          </w:tcPr>
          <w:p w14:paraId="57644062"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Seek and apply the expertise of key individuals to achieve organisational outcomes</w:t>
            </w:r>
          </w:p>
          <w:p w14:paraId="3C06E743"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Drive a culture of achievement and acknowledge input from others</w:t>
            </w:r>
          </w:p>
          <w:p w14:paraId="6FE2D240"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Determine how outcomes will be measured and guide others on evaluation methods</w:t>
            </w:r>
          </w:p>
          <w:p w14:paraId="6BA8C414"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Investigate and create opportunities to enhance the achievement of organisational objectives</w:t>
            </w:r>
          </w:p>
          <w:p w14:paraId="44772395"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Make sure others understand that on-time and on-budget results are required and how overall success is defined</w:t>
            </w:r>
          </w:p>
          <w:p w14:paraId="299CEFC2"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Control business unit output to ensure government outcomes are achieved within budgets</w:t>
            </w:r>
          </w:p>
          <w:p w14:paraId="04A6BD26"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Progress organisational priorities and ensure that resources are acquired and used effectively</w:t>
            </w:r>
          </w:p>
        </w:tc>
        <w:tc>
          <w:tcPr>
            <w:tcW w:w="1668" w:type="dxa"/>
          </w:tcPr>
          <w:p w14:paraId="0BB2FBDA" w14:textId="77777777" w:rsidR="004B1021" w:rsidRPr="004B1021" w:rsidRDefault="004B1021" w:rsidP="004B1021">
            <w:pPr>
              <w:spacing w:before="40" w:after="40" w:line="280" w:lineRule="atLeast"/>
              <w:rPr>
                <w:sz w:val="20"/>
              </w:rPr>
            </w:pPr>
            <w:r w:rsidRPr="004B1021">
              <w:rPr>
                <w:sz w:val="20"/>
              </w:rPr>
              <w:t>Advanced</w:t>
            </w:r>
          </w:p>
        </w:tc>
      </w:tr>
      <w:tr w:rsidR="004B1021" w:rsidRPr="004B1021" w14:paraId="39365DB0" w14:textId="77777777" w:rsidTr="00600F29">
        <w:trPr>
          <w:cantSplit/>
        </w:trPr>
        <w:tc>
          <w:tcPr>
            <w:tcW w:w="1385" w:type="dxa"/>
          </w:tcPr>
          <w:p w14:paraId="4F042A4D" w14:textId="77777777" w:rsidR="004B1021" w:rsidRPr="004B1021" w:rsidRDefault="004B1021" w:rsidP="004B1021">
            <w:pPr>
              <w:jc w:val="center"/>
              <w:rPr>
                <w:noProof/>
                <w:sz w:val="20"/>
                <w:lang w:eastAsia="en-AU"/>
              </w:rPr>
            </w:pPr>
            <w:r w:rsidRPr="004B1021">
              <w:rPr>
                <w:noProof/>
                <w:sz w:val="20"/>
                <w:lang w:eastAsia="en-AU"/>
              </w:rPr>
              <w:drawing>
                <wp:inline distT="0" distB="0" distL="0" distR="0" wp14:anchorId="002DE92D" wp14:editId="7C5717B8">
                  <wp:extent cx="749300" cy="749300"/>
                  <wp:effectExtent l="0" t="0" r="0" b="0"/>
                  <wp:docPr id="2712"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DD7B133" w14:textId="77777777" w:rsidR="004B1021" w:rsidRPr="004B1021" w:rsidRDefault="004B1021" w:rsidP="004B1021">
            <w:pPr>
              <w:rPr>
                <w:rFonts w:cs="Arial"/>
                <w:color w:val="000000"/>
                <w:sz w:val="20"/>
              </w:rPr>
            </w:pPr>
            <w:r w:rsidRPr="004B1021">
              <w:rPr>
                <w:rFonts w:cs="Arial"/>
                <w:b/>
                <w:bCs/>
                <w:color w:val="000000"/>
                <w:sz w:val="20"/>
              </w:rPr>
              <w:t>Think and Solve Problems</w:t>
            </w:r>
          </w:p>
          <w:p w14:paraId="06B5DA95" w14:textId="77777777" w:rsidR="004B1021" w:rsidRPr="004B1021" w:rsidRDefault="004B1021" w:rsidP="004B1021">
            <w:pPr>
              <w:rPr>
                <w:rFonts w:cs="Arial"/>
                <w:color w:val="000000"/>
                <w:sz w:val="20"/>
              </w:rPr>
            </w:pPr>
            <w:r w:rsidRPr="004B1021">
              <w:rPr>
                <w:rFonts w:cs="Arial"/>
                <w:color w:val="000000"/>
                <w:sz w:val="20"/>
              </w:rPr>
              <w:t>Think, analyse and consider the broader context to develop practical solutions</w:t>
            </w:r>
          </w:p>
        </w:tc>
        <w:tc>
          <w:tcPr>
            <w:tcW w:w="4709" w:type="dxa"/>
          </w:tcPr>
          <w:p w14:paraId="098F2CB8"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Establish and promote a culture that encourages innovation and initiative and emphasises the value of continuous improvement</w:t>
            </w:r>
          </w:p>
          <w:p w14:paraId="54B35739"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Engage in high-level critical analysis of a wide range of complex information and formulate effective responses to critical policy issues</w:t>
            </w:r>
          </w:p>
          <w:p w14:paraId="7F261160"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Identify and evaluate organisation-wide implications when considering proposed solutions to issues</w:t>
            </w:r>
          </w:p>
          <w:p w14:paraId="727590C0"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Apply lateral thinking and develop innovative solutions that have a long-lasting, organisation-wide impact</w:t>
            </w:r>
          </w:p>
          <w:p w14:paraId="233EFFC7"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Ensure effective governance systems are in place to guarantee quality analysis, research and reform</w:t>
            </w:r>
          </w:p>
        </w:tc>
        <w:tc>
          <w:tcPr>
            <w:tcW w:w="1668" w:type="dxa"/>
          </w:tcPr>
          <w:p w14:paraId="42E729AB" w14:textId="77777777" w:rsidR="004B1021" w:rsidRPr="004B1021" w:rsidRDefault="004B1021" w:rsidP="004B1021">
            <w:pPr>
              <w:spacing w:before="40" w:after="40" w:line="280" w:lineRule="atLeast"/>
              <w:rPr>
                <w:sz w:val="20"/>
              </w:rPr>
            </w:pPr>
            <w:r w:rsidRPr="004B1021">
              <w:rPr>
                <w:sz w:val="20"/>
              </w:rPr>
              <w:t>Highly Advanced</w:t>
            </w:r>
          </w:p>
        </w:tc>
      </w:tr>
      <w:tr w:rsidR="004B1021" w:rsidRPr="004B1021" w14:paraId="07E96D1E" w14:textId="77777777" w:rsidTr="00600F29">
        <w:trPr>
          <w:cantSplit/>
        </w:trPr>
        <w:tc>
          <w:tcPr>
            <w:tcW w:w="1385" w:type="dxa"/>
          </w:tcPr>
          <w:p w14:paraId="75B4F73C" w14:textId="77777777" w:rsidR="004B1021" w:rsidRPr="004B1021" w:rsidRDefault="004B1021" w:rsidP="004B1021">
            <w:pPr>
              <w:jc w:val="center"/>
              <w:rPr>
                <w:noProof/>
                <w:sz w:val="20"/>
                <w:lang w:eastAsia="en-AU"/>
              </w:rPr>
            </w:pPr>
            <w:r w:rsidRPr="004B1021">
              <w:rPr>
                <w:noProof/>
                <w:sz w:val="20"/>
                <w:lang w:eastAsia="en-AU"/>
              </w:rPr>
              <w:lastRenderedPageBreak/>
              <w:drawing>
                <wp:inline distT="0" distB="0" distL="0" distR="0" wp14:anchorId="3435ECC6" wp14:editId="13C9449E">
                  <wp:extent cx="749300" cy="749300"/>
                  <wp:effectExtent l="0" t="0" r="0" b="0"/>
                  <wp:docPr id="6296"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A7DB1E2" w14:textId="77777777" w:rsidR="004B1021" w:rsidRPr="004B1021" w:rsidRDefault="004B1021" w:rsidP="004B1021">
            <w:pPr>
              <w:rPr>
                <w:rFonts w:cs="Arial"/>
                <w:color w:val="000000"/>
                <w:sz w:val="20"/>
              </w:rPr>
            </w:pPr>
            <w:r w:rsidRPr="004B1021">
              <w:rPr>
                <w:rFonts w:cs="Arial"/>
                <w:b/>
                <w:bCs/>
                <w:color w:val="000000"/>
                <w:sz w:val="20"/>
              </w:rPr>
              <w:t>Manage and Develop People</w:t>
            </w:r>
          </w:p>
          <w:p w14:paraId="031DF2F6" w14:textId="77777777" w:rsidR="004B1021" w:rsidRPr="004B1021" w:rsidRDefault="004B1021" w:rsidP="004B1021">
            <w:pPr>
              <w:rPr>
                <w:rFonts w:cs="Arial"/>
                <w:color w:val="000000"/>
                <w:sz w:val="20"/>
              </w:rPr>
            </w:pPr>
            <w:r w:rsidRPr="004B1021">
              <w:rPr>
                <w:rFonts w:cs="Arial"/>
                <w:color w:val="000000"/>
                <w:sz w:val="20"/>
              </w:rPr>
              <w:t>Engage and motivate staff, and develop capability and potential in others</w:t>
            </w:r>
          </w:p>
        </w:tc>
        <w:tc>
          <w:tcPr>
            <w:tcW w:w="4709" w:type="dxa"/>
          </w:tcPr>
          <w:p w14:paraId="2EFE8243"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Refine roles and responsibilities over time to achieve better business outcomes</w:t>
            </w:r>
          </w:p>
          <w:p w14:paraId="74D81556"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Recognise talent, develop team capability and undertake succession planning</w:t>
            </w:r>
          </w:p>
          <w:p w14:paraId="20B782A6"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Coach and mentor staff and encourage professional development and continuous learning</w:t>
            </w:r>
          </w:p>
          <w:p w14:paraId="3B1BDE44"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Prioritise addressing and resolving team and individual performance issues and ensure that this approach is cascaded throughout the organisation</w:t>
            </w:r>
          </w:p>
          <w:p w14:paraId="372AA6E1"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Implement performance development frameworks to align workforce capability with the organisation’s current and future priorities and objectives</w:t>
            </w:r>
          </w:p>
        </w:tc>
        <w:tc>
          <w:tcPr>
            <w:tcW w:w="1668" w:type="dxa"/>
          </w:tcPr>
          <w:p w14:paraId="7A50C6D9" w14:textId="77777777" w:rsidR="004B1021" w:rsidRPr="004B1021" w:rsidRDefault="004B1021" w:rsidP="004B1021">
            <w:pPr>
              <w:spacing w:before="40" w:after="40" w:line="280" w:lineRule="atLeast"/>
              <w:rPr>
                <w:sz w:val="20"/>
              </w:rPr>
            </w:pPr>
            <w:r w:rsidRPr="004B1021">
              <w:rPr>
                <w:sz w:val="20"/>
              </w:rPr>
              <w:t>Advanced</w:t>
            </w:r>
          </w:p>
        </w:tc>
      </w:tr>
      <w:tr w:rsidR="004B1021" w:rsidRPr="004B1021" w14:paraId="57148D1E" w14:textId="77777777" w:rsidTr="00600F29">
        <w:trPr>
          <w:cantSplit/>
        </w:trPr>
        <w:tc>
          <w:tcPr>
            <w:tcW w:w="1385" w:type="dxa"/>
          </w:tcPr>
          <w:p w14:paraId="210BDC29" w14:textId="77777777" w:rsidR="004B1021" w:rsidRPr="004B1021" w:rsidRDefault="004B1021" w:rsidP="004B1021">
            <w:pPr>
              <w:jc w:val="center"/>
              <w:rPr>
                <w:noProof/>
                <w:sz w:val="20"/>
                <w:lang w:eastAsia="en-AU"/>
              </w:rPr>
            </w:pPr>
            <w:r w:rsidRPr="004B1021">
              <w:rPr>
                <w:noProof/>
                <w:sz w:val="20"/>
                <w:lang w:eastAsia="en-AU"/>
              </w:rPr>
              <w:drawing>
                <wp:inline distT="0" distB="0" distL="0" distR="0" wp14:anchorId="2B5A2F53" wp14:editId="3DD65965">
                  <wp:extent cx="749300" cy="749300"/>
                  <wp:effectExtent l="0" t="0" r="0" b="0"/>
                  <wp:docPr id="9881"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F09D694" w14:textId="77777777" w:rsidR="004B1021" w:rsidRPr="004B1021" w:rsidRDefault="004B1021" w:rsidP="004B1021">
            <w:pPr>
              <w:rPr>
                <w:rFonts w:cs="Arial"/>
                <w:color w:val="000000"/>
                <w:sz w:val="20"/>
              </w:rPr>
            </w:pPr>
            <w:r w:rsidRPr="004B1021">
              <w:rPr>
                <w:rFonts w:cs="Arial"/>
                <w:b/>
                <w:bCs/>
                <w:color w:val="000000"/>
                <w:sz w:val="20"/>
              </w:rPr>
              <w:t>Inspire Direction and Purpose</w:t>
            </w:r>
          </w:p>
          <w:p w14:paraId="1779C2C3" w14:textId="77777777" w:rsidR="004B1021" w:rsidRPr="004B1021" w:rsidRDefault="004B1021" w:rsidP="004B1021">
            <w:pPr>
              <w:rPr>
                <w:rFonts w:cs="Arial"/>
                <w:color w:val="000000"/>
                <w:sz w:val="20"/>
              </w:rPr>
            </w:pPr>
            <w:r w:rsidRPr="004B1021">
              <w:rPr>
                <w:rFonts w:cs="Arial"/>
                <w:color w:val="000000"/>
                <w:sz w:val="20"/>
              </w:rPr>
              <w:t>Communicate goals, priorities and vision, and recognise achievements</w:t>
            </w:r>
          </w:p>
        </w:tc>
        <w:tc>
          <w:tcPr>
            <w:tcW w:w="4709" w:type="dxa"/>
          </w:tcPr>
          <w:p w14:paraId="353161E5"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Promote a sense of purpose and enable others to understand the links between government policy, organisational goals and public value</w:t>
            </w:r>
          </w:p>
          <w:p w14:paraId="42856ABA"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Build a shared sense of direction, clarify priorities and goals, and inspire others to achieve these</w:t>
            </w:r>
          </w:p>
          <w:p w14:paraId="135C47ED"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Work with others to translate strategic direction into operational goals and build a shared understanding of the link between these and core business outcomes</w:t>
            </w:r>
          </w:p>
          <w:p w14:paraId="56400738"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Create opportunities for recognising and celebrating high performance at the individual and team level</w:t>
            </w:r>
          </w:p>
          <w:p w14:paraId="7161CB0E"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Instil confidence, and cultivate an attitude of openness and curiosity in tackling future challenges</w:t>
            </w:r>
          </w:p>
        </w:tc>
        <w:tc>
          <w:tcPr>
            <w:tcW w:w="1668" w:type="dxa"/>
          </w:tcPr>
          <w:p w14:paraId="4FB7BE83" w14:textId="77777777" w:rsidR="004B1021" w:rsidRPr="004B1021" w:rsidRDefault="004B1021" w:rsidP="004B1021">
            <w:pPr>
              <w:spacing w:before="40" w:after="40" w:line="280" w:lineRule="atLeast"/>
              <w:rPr>
                <w:sz w:val="20"/>
              </w:rPr>
            </w:pPr>
            <w:r w:rsidRPr="004B1021">
              <w:rPr>
                <w:sz w:val="20"/>
              </w:rPr>
              <w:t>Advanced</w:t>
            </w:r>
          </w:p>
        </w:tc>
      </w:tr>
      <w:tr w:rsidR="004B1021" w:rsidRPr="004B1021" w14:paraId="5A25718D" w14:textId="77777777" w:rsidTr="00600F29">
        <w:trPr>
          <w:cantSplit/>
        </w:trPr>
        <w:tc>
          <w:tcPr>
            <w:tcW w:w="1385" w:type="dxa"/>
          </w:tcPr>
          <w:p w14:paraId="4A769675" w14:textId="77777777" w:rsidR="004B1021" w:rsidRPr="004B1021" w:rsidRDefault="004B1021" w:rsidP="004B1021">
            <w:pPr>
              <w:jc w:val="center"/>
              <w:rPr>
                <w:noProof/>
                <w:sz w:val="20"/>
                <w:lang w:eastAsia="en-AU"/>
              </w:rPr>
            </w:pPr>
            <w:r w:rsidRPr="004B1021">
              <w:rPr>
                <w:noProof/>
                <w:sz w:val="20"/>
                <w:lang w:eastAsia="en-AU"/>
              </w:rPr>
              <w:drawing>
                <wp:inline distT="0" distB="0" distL="0" distR="0" wp14:anchorId="63305427" wp14:editId="50193B8D">
                  <wp:extent cx="749300" cy="749300"/>
                  <wp:effectExtent l="0" t="0" r="0" b="0"/>
                  <wp:docPr id="8246"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276E92F" w14:textId="77777777" w:rsidR="004B1021" w:rsidRPr="004B1021" w:rsidRDefault="004B1021" w:rsidP="004B1021">
            <w:pPr>
              <w:rPr>
                <w:rFonts w:cs="Arial"/>
                <w:color w:val="000000"/>
                <w:sz w:val="20"/>
              </w:rPr>
            </w:pPr>
            <w:r w:rsidRPr="004B1021">
              <w:rPr>
                <w:rFonts w:cs="Arial"/>
                <w:b/>
                <w:bCs/>
                <w:color w:val="000000"/>
                <w:sz w:val="20"/>
              </w:rPr>
              <w:t>Manage Reform and Change</w:t>
            </w:r>
          </w:p>
          <w:p w14:paraId="66DC9261" w14:textId="77777777" w:rsidR="004B1021" w:rsidRPr="004B1021" w:rsidRDefault="004B1021" w:rsidP="004B1021">
            <w:pPr>
              <w:rPr>
                <w:rFonts w:cs="Arial"/>
                <w:color w:val="000000"/>
                <w:sz w:val="20"/>
              </w:rPr>
            </w:pPr>
            <w:r w:rsidRPr="004B1021">
              <w:rPr>
                <w:rFonts w:cs="Arial"/>
                <w:color w:val="000000"/>
                <w:sz w:val="20"/>
              </w:rPr>
              <w:t>Support, promote and champion change, and assist others to engage with change</w:t>
            </w:r>
          </w:p>
        </w:tc>
        <w:tc>
          <w:tcPr>
            <w:tcW w:w="4709" w:type="dxa"/>
          </w:tcPr>
          <w:p w14:paraId="36E87911"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Drive a continuous improvement agenda, define high-level objectives and translate these into practical implementation strategies</w:t>
            </w:r>
          </w:p>
          <w:p w14:paraId="0F795540"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Build staff support for and commitment to announced change, and plan and prepare for long-term organisational change, with a focus on the wider political, social and environmental context</w:t>
            </w:r>
          </w:p>
          <w:p w14:paraId="3CC82415" w14:textId="77777777" w:rsidR="004B1021" w:rsidRPr="00802A27" w:rsidRDefault="004B1021" w:rsidP="00802A27">
            <w:pPr>
              <w:pStyle w:val="ListParagraph"/>
              <w:numPr>
                <w:ilvl w:val="0"/>
                <w:numId w:val="17"/>
              </w:numPr>
              <w:spacing w:after="0" w:line="280" w:lineRule="atLeast"/>
              <w:ind w:left="366"/>
              <w:rPr>
                <w:sz w:val="20"/>
              </w:rPr>
            </w:pPr>
            <w:r w:rsidRPr="00802A27">
              <w:rPr>
                <w:sz w:val="20"/>
              </w:rPr>
              <w:t>Create an organisational culture that actively seeks opportunities to improve</w:t>
            </w:r>
          </w:p>
          <w:p w14:paraId="651D1D6E" w14:textId="77777777" w:rsidR="004B1021" w:rsidRPr="004B1021" w:rsidRDefault="004B1021" w:rsidP="00802A27">
            <w:pPr>
              <w:pStyle w:val="ListParagraph"/>
              <w:numPr>
                <w:ilvl w:val="0"/>
                <w:numId w:val="17"/>
              </w:numPr>
              <w:spacing w:after="0" w:line="280" w:lineRule="atLeast"/>
              <w:ind w:left="366"/>
              <w:rPr>
                <w:sz w:val="20"/>
              </w:rPr>
            </w:pPr>
            <w:r w:rsidRPr="004B1021">
              <w:rPr>
                <w:sz w:val="20"/>
              </w:rPr>
              <w:t>Anticipate, plan for and address cultural barriers to change at the organisational level</w:t>
            </w:r>
          </w:p>
        </w:tc>
        <w:tc>
          <w:tcPr>
            <w:tcW w:w="1668" w:type="dxa"/>
          </w:tcPr>
          <w:p w14:paraId="28FF0311" w14:textId="77777777" w:rsidR="004B1021" w:rsidRPr="004B1021" w:rsidRDefault="004B1021" w:rsidP="004B1021">
            <w:pPr>
              <w:spacing w:before="40" w:after="40" w:line="280" w:lineRule="atLeast"/>
              <w:rPr>
                <w:sz w:val="20"/>
              </w:rPr>
            </w:pPr>
            <w:r w:rsidRPr="004B1021">
              <w:rPr>
                <w:sz w:val="20"/>
              </w:rPr>
              <w:t>Highly Advanced</w:t>
            </w:r>
          </w:p>
        </w:tc>
      </w:tr>
    </w:tbl>
    <w:p w14:paraId="2443DDA8" w14:textId="77777777" w:rsidR="004B1021" w:rsidRPr="004B1021" w:rsidRDefault="004B1021" w:rsidP="004B1021">
      <w:pPr>
        <w:keepNext/>
        <w:spacing w:before="360" w:after="120"/>
        <w:outlineLvl w:val="1"/>
        <w:rPr>
          <w:rFonts w:cs="Arial"/>
          <w:b/>
          <w:bCs/>
          <w:iCs/>
          <w:sz w:val="26"/>
          <w:szCs w:val="28"/>
        </w:rPr>
      </w:pPr>
      <w:r w:rsidRPr="004B1021">
        <w:rPr>
          <w:rFonts w:cs="Arial"/>
          <w:b/>
          <w:bCs/>
          <w:iCs/>
          <w:sz w:val="26"/>
          <w:szCs w:val="28"/>
        </w:rPr>
        <w:t>Complementary capabilities</w:t>
      </w:r>
    </w:p>
    <w:p w14:paraId="5A9B4381" w14:textId="77777777" w:rsidR="004B1021" w:rsidRPr="001123D7" w:rsidRDefault="004B1021" w:rsidP="004B1021">
      <w:pPr>
        <w:spacing w:before="62" w:line="276" w:lineRule="auto"/>
        <w:contextualSpacing/>
        <w:rPr>
          <w:rFonts w:eastAsiaTheme="minorEastAsia"/>
          <w:szCs w:val="24"/>
          <w:lang w:val="en-US"/>
        </w:rPr>
      </w:pPr>
      <w:r w:rsidRPr="001123D7">
        <w:rPr>
          <w:rFonts w:eastAsiaTheme="minorEastAsia"/>
          <w:i/>
          <w:szCs w:val="24"/>
          <w:lang w:val="en-US"/>
        </w:rPr>
        <w:t>Complementary capabilities</w:t>
      </w:r>
      <w:r w:rsidRPr="001123D7">
        <w:rPr>
          <w:rFonts w:eastAsiaTheme="minorEastAsia"/>
          <w:szCs w:val="24"/>
          <w:lang w:val="en-US"/>
        </w:rPr>
        <w:t xml:space="preserve"> are also identified from the Capability Framework and relevant occupation-specific capability sets. They are important to </w:t>
      </w:r>
      <w:proofErr w:type="gramStart"/>
      <w:r w:rsidRPr="001123D7">
        <w:rPr>
          <w:rFonts w:eastAsiaTheme="minorEastAsia"/>
          <w:szCs w:val="24"/>
          <w:lang w:val="en-US"/>
        </w:rPr>
        <w:t>identifying</w:t>
      </w:r>
      <w:proofErr w:type="gramEnd"/>
      <w:r w:rsidRPr="001123D7">
        <w:rPr>
          <w:rFonts w:eastAsiaTheme="minorEastAsia"/>
          <w:szCs w:val="24"/>
          <w:lang w:val="en-US"/>
        </w:rPr>
        <w:t xml:space="preserve"> </w:t>
      </w:r>
      <w:proofErr w:type="gramStart"/>
      <w:r w:rsidRPr="001123D7">
        <w:rPr>
          <w:rFonts w:eastAsiaTheme="minorEastAsia"/>
          <w:szCs w:val="24"/>
          <w:lang w:val="en-US"/>
        </w:rPr>
        <w:t>performance</w:t>
      </w:r>
      <w:proofErr w:type="gramEnd"/>
      <w:r w:rsidRPr="001123D7">
        <w:rPr>
          <w:rFonts w:eastAsiaTheme="minorEastAsia"/>
          <w:szCs w:val="24"/>
          <w:lang w:val="en-US"/>
        </w:rPr>
        <w:t xml:space="preserve"> required for the role and development opportunities. </w:t>
      </w:r>
    </w:p>
    <w:p w14:paraId="1179A507" w14:textId="77777777" w:rsidR="004B1021" w:rsidRPr="001123D7" w:rsidRDefault="004B1021" w:rsidP="004B1021">
      <w:pPr>
        <w:spacing w:before="62" w:line="276" w:lineRule="auto"/>
        <w:contextualSpacing/>
        <w:rPr>
          <w:rFonts w:eastAsiaTheme="minorEastAsia"/>
          <w:szCs w:val="24"/>
          <w:lang w:val="en-US"/>
        </w:rPr>
      </w:pPr>
      <w:r w:rsidRPr="001123D7">
        <w:rPr>
          <w:rFonts w:eastAsiaTheme="minorEastAsia"/>
          <w:szCs w:val="24"/>
          <w:lang w:val="en-US"/>
        </w:rPr>
        <w:lastRenderedPageBreak/>
        <w:t xml:space="preserve">Note: capabilities listed as ‘not essential’ for this role are not relevant for recruitment </w:t>
      </w:r>
      <w:proofErr w:type="gramStart"/>
      <w:r w:rsidRPr="001123D7">
        <w:rPr>
          <w:rFonts w:eastAsiaTheme="minorEastAsia"/>
          <w:szCs w:val="24"/>
          <w:lang w:val="en-US"/>
        </w:rPr>
        <w:t>purposes</w:t>
      </w:r>
      <w:proofErr w:type="gramEnd"/>
      <w:r w:rsidRPr="001123D7">
        <w:rPr>
          <w:rFonts w:eastAsiaTheme="minorEastAsia"/>
          <w:szCs w:val="24"/>
          <w:lang w:val="en-US"/>
        </w:rPr>
        <w:t xml:space="preserve"> </w:t>
      </w:r>
      <w:proofErr w:type="gramStart"/>
      <w:r w:rsidRPr="001123D7">
        <w:rPr>
          <w:rFonts w:eastAsiaTheme="minorEastAsia"/>
          <w:szCs w:val="24"/>
          <w:lang w:val="en-US"/>
        </w:rPr>
        <w:t>however</w:t>
      </w:r>
      <w:proofErr w:type="gramEnd"/>
      <w:r w:rsidRPr="001123D7">
        <w:rPr>
          <w:rFonts w:eastAsiaTheme="minorEastAsia"/>
          <w:szCs w:val="24"/>
          <w:lang w:val="en-US"/>
        </w:rPr>
        <w:t xml:space="preserve"> may be relevant for future career development.</w:t>
      </w:r>
    </w:p>
    <w:p w14:paraId="02BCA602" w14:textId="77777777" w:rsidR="004B1021" w:rsidRPr="004B1021" w:rsidRDefault="004B1021" w:rsidP="004B1021">
      <w:pPr>
        <w:spacing w:before="62" w:line="276" w:lineRule="auto"/>
        <w:contextualSpacing/>
        <w:rPr>
          <w:rFonts w:eastAsiaTheme="minorEastAsia"/>
          <w:sz w:val="21"/>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4B1021" w:rsidRPr="004B1021" w14:paraId="3A2A13D2" w14:textId="77777777" w:rsidTr="00600F29">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1A395180" w14:textId="77777777" w:rsidR="004B1021" w:rsidRPr="004B1021" w:rsidRDefault="004B1021" w:rsidP="004B1021">
            <w:pPr>
              <w:rPr>
                <w:sz w:val="20"/>
              </w:rPr>
            </w:pPr>
            <w:r w:rsidRPr="004B1021">
              <w:rPr>
                <w:b/>
                <w:sz w:val="20"/>
              </w:rPr>
              <w:t>Capability group/sets</w:t>
            </w:r>
          </w:p>
        </w:tc>
        <w:tc>
          <w:tcPr>
            <w:tcW w:w="2693" w:type="dxa"/>
            <w:shd w:val="clear" w:color="auto" w:fill="BFBFBF" w:themeFill="background1" w:themeFillShade="BF"/>
          </w:tcPr>
          <w:p w14:paraId="23F86CE0" w14:textId="77777777" w:rsidR="004B1021" w:rsidRPr="004B1021" w:rsidRDefault="004B1021" w:rsidP="004B1021">
            <w:pPr>
              <w:rPr>
                <w:sz w:val="20"/>
              </w:rPr>
            </w:pPr>
            <w:r w:rsidRPr="004B1021">
              <w:rPr>
                <w:b/>
                <w:sz w:val="20"/>
              </w:rPr>
              <w:t>Capability name</w:t>
            </w:r>
          </w:p>
        </w:tc>
        <w:tc>
          <w:tcPr>
            <w:tcW w:w="4851" w:type="dxa"/>
            <w:shd w:val="clear" w:color="auto" w:fill="BFBFBF" w:themeFill="background1" w:themeFillShade="BF"/>
          </w:tcPr>
          <w:p w14:paraId="0C75A1E6" w14:textId="77777777" w:rsidR="004B1021" w:rsidRPr="004B1021" w:rsidRDefault="004B1021" w:rsidP="004B1021">
            <w:pPr>
              <w:rPr>
                <w:sz w:val="20"/>
              </w:rPr>
            </w:pPr>
            <w:r w:rsidRPr="004B1021">
              <w:rPr>
                <w:b/>
                <w:sz w:val="20"/>
              </w:rPr>
              <w:t>Description</w:t>
            </w:r>
          </w:p>
        </w:tc>
        <w:tc>
          <w:tcPr>
            <w:tcW w:w="1668" w:type="dxa"/>
            <w:shd w:val="clear" w:color="auto" w:fill="BFBFBF" w:themeFill="background1" w:themeFillShade="BF"/>
          </w:tcPr>
          <w:p w14:paraId="17D0A3D6" w14:textId="77777777" w:rsidR="004B1021" w:rsidRPr="004B1021" w:rsidRDefault="004B1021" w:rsidP="004B1021">
            <w:pPr>
              <w:rPr>
                <w:b/>
                <w:bCs/>
                <w:sz w:val="20"/>
              </w:rPr>
            </w:pPr>
            <w:r w:rsidRPr="004B1021">
              <w:rPr>
                <w:b/>
                <w:bCs/>
                <w:sz w:val="20"/>
              </w:rPr>
              <w:t>Level</w:t>
            </w:r>
          </w:p>
        </w:tc>
      </w:tr>
      <w:tr w:rsidR="004B1021" w:rsidRPr="004B1021" w14:paraId="475AC83F" w14:textId="77777777" w:rsidTr="00600F29">
        <w:trPr>
          <w:cantSplit/>
        </w:trPr>
        <w:tc>
          <w:tcPr>
            <w:tcW w:w="1276" w:type="dxa"/>
          </w:tcPr>
          <w:p w14:paraId="7B473946" w14:textId="77777777" w:rsidR="004B1021" w:rsidRPr="004B1021" w:rsidRDefault="004B1021" w:rsidP="004B1021">
            <w:pPr>
              <w:rPr>
                <w:sz w:val="20"/>
              </w:rPr>
            </w:pPr>
            <w:r w:rsidRPr="004B1021">
              <w:rPr>
                <w:noProof/>
                <w:sz w:val="20"/>
                <w:lang w:eastAsia="en-AU"/>
              </w:rPr>
              <w:drawing>
                <wp:inline distT="0" distB="0" distL="0" distR="0" wp14:anchorId="730E72D3" wp14:editId="0C580A5B">
                  <wp:extent cx="416966" cy="416966"/>
                  <wp:effectExtent l="0" t="0" r="2540" b="2540"/>
                  <wp:docPr id="184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66D3866" w14:textId="77777777" w:rsidR="004B1021" w:rsidRPr="004B1021" w:rsidRDefault="004B1021" w:rsidP="004B1021">
            <w:pPr>
              <w:spacing w:before="40" w:after="40" w:line="280" w:lineRule="atLeast"/>
              <w:rPr>
                <w:sz w:val="20"/>
              </w:rPr>
            </w:pPr>
            <w:r w:rsidRPr="004B1021">
              <w:rPr>
                <w:sz w:val="20"/>
              </w:rPr>
              <w:t>Manage Self</w:t>
            </w:r>
          </w:p>
        </w:tc>
        <w:tc>
          <w:tcPr>
            <w:tcW w:w="4851" w:type="dxa"/>
          </w:tcPr>
          <w:p w14:paraId="57199890" w14:textId="77777777" w:rsidR="004B1021" w:rsidRPr="004B1021" w:rsidRDefault="004B1021" w:rsidP="004B1021">
            <w:pPr>
              <w:spacing w:before="40" w:after="40" w:line="280" w:lineRule="atLeast"/>
              <w:rPr>
                <w:sz w:val="20"/>
              </w:rPr>
            </w:pPr>
            <w:r w:rsidRPr="004B1021">
              <w:rPr>
                <w:sz w:val="20"/>
              </w:rPr>
              <w:t>Show drive and motivation, an ability to self-reflect and a commitment to learning</w:t>
            </w:r>
          </w:p>
        </w:tc>
        <w:tc>
          <w:tcPr>
            <w:tcW w:w="1668" w:type="dxa"/>
          </w:tcPr>
          <w:p w14:paraId="0BFEC1BB" w14:textId="77777777" w:rsidR="004B1021" w:rsidRPr="004B1021" w:rsidRDefault="004B1021" w:rsidP="004B1021">
            <w:pPr>
              <w:spacing w:before="40" w:after="40" w:line="280" w:lineRule="atLeast"/>
              <w:rPr>
                <w:sz w:val="20"/>
              </w:rPr>
            </w:pPr>
            <w:r w:rsidRPr="004B1021">
              <w:rPr>
                <w:sz w:val="20"/>
              </w:rPr>
              <w:t>Advanced</w:t>
            </w:r>
          </w:p>
        </w:tc>
      </w:tr>
      <w:tr w:rsidR="004B1021" w:rsidRPr="004B1021" w14:paraId="14816702" w14:textId="77777777" w:rsidTr="00600F29">
        <w:trPr>
          <w:cantSplit/>
        </w:trPr>
        <w:tc>
          <w:tcPr>
            <w:tcW w:w="1276" w:type="dxa"/>
          </w:tcPr>
          <w:p w14:paraId="00C10443" w14:textId="77777777" w:rsidR="004B1021" w:rsidRPr="004B1021" w:rsidRDefault="004B1021" w:rsidP="004B1021">
            <w:pPr>
              <w:rPr>
                <w:sz w:val="20"/>
              </w:rPr>
            </w:pPr>
            <w:r w:rsidRPr="004B1021">
              <w:rPr>
                <w:noProof/>
                <w:sz w:val="20"/>
                <w:lang w:eastAsia="en-AU"/>
              </w:rPr>
              <w:drawing>
                <wp:inline distT="0" distB="0" distL="0" distR="0" wp14:anchorId="289208B8" wp14:editId="05655583">
                  <wp:extent cx="416966" cy="416966"/>
                  <wp:effectExtent l="0" t="0" r="2540" b="2540"/>
                  <wp:docPr id="542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7CD3CFC" w14:textId="77777777" w:rsidR="004B1021" w:rsidRPr="004B1021" w:rsidRDefault="004B1021" w:rsidP="004B1021">
            <w:pPr>
              <w:spacing w:before="40" w:after="40" w:line="280" w:lineRule="atLeast"/>
              <w:rPr>
                <w:sz w:val="20"/>
              </w:rPr>
            </w:pPr>
            <w:r w:rsidRPr="004B1021">
              <w:rPr>
                <w:sz w:val="20"/>
              </w:rPr>
              <w:t>Value Diversity and Inclusion</w:t>
            </w:r>
          </w:p>
        </w:tc>
        <w:tc>
          <w:tcPr>
            <w:tcW w:w="4851" w:type="dxa"/>
          </w:tcPr>
          <w:p w14:paraId="67A93D54" w14:textId="77777777" w:rsidR="004B1021" w:rsidRPr="004B1021" w:rsidRDefault="004B1021" w:rsidP="004B1021">
            <w:pPr>
              <w:spacing w:before="40" w:after="40" w:line="280" w:lineRule="atLeast"/>
              <w:rPr>
                <w:sz w:val="20"/>
              </w:rPr>
            </w:pPr>
            <w:r w:rsidRPr="004B1021">
              <w:rPr>
                <w:sz w:val="20"/>
              </w:rPr>
              <w:t>Demonstrate inclusive behaviour and show respect for diverse backgrounds, experiences and perspectives</w:t>
            </w:r>
          </w:p>
        </w:tc>
        <w:tc>
          <w:tcPr>
            <w:tcW w:w="1668" w:type="dxa"/>
          </w:tcPr>
          <w:p w14:paraId="62A2A42E" w14:textId="77777777" w:rsidR="004B1021" w:rsidRPr="004B1021" w:rsidRDefault="004B1021" w:rsidP="004B1021">
            <w:pPr>
              <w:spacing w:before="40" w:after="40" w:line="280" w:lineRule="atLeast"/>
              <w:rPr>
                <w:sz w:val="20"/>
              </w:rPr>
            </w:pPr>
            <w:r w:rsidRPr="004B1021">
              <w:rPr>
                <w:sz w:val="20"/>
              </w:rPr>
              <w:t>Advanced</w:t>
            </w:r>
          </w:p>
        </w:tc>
      </w:tr>
      <w:tr w:rsidR="004B1021" w:rsidRPr="004B1021" w14:paraId="6F9846FF" w14:textId="77777777" w:rsidTr="00600F29">
        <w:trPr>
          <w:cantSplit/>
        </w:trPr>
        <w:tc>
          <w:tcPr>
            <w:tcW w:w="1276" w:type="dxa"/>
          </w:tcPr>
          <w:p w14:paraId="43597997" w14:textId="77777777" w:rsidR="004B1021" w:rsidRPr="004B1021" w:rsidRDefault="004B1021" w:rsidP="004B1021">
            <w:pPr>
              <w:rPr>
                <w:sz w:val="20"/>
              </w:rPr>
            </w:pPr>
            <w:r w:rsidRPr="004B1021">
              <w:rPr>
                <w:noProof/>
                <w:sz w:val="20"/>
                <w:lang w:eastAsia="en-AU"/>
              </w:rPr>
              <w:drawing>
                <wp:inline distT="0" distB="0" distL="0" distR="0" wp14:anchorId="1B8E2DD3" wp14:editId="3880CA13">
                  <wp:extent cx="416966" cy="416966"/>
                  <wp:effectExtent l="0" t="0" r="2540" b="2540"/>
                  <wp:docPr id="379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A9A62BB" w14:textId="77777777" w:rsidR="004B1021" w:rsidRPr="004B1021" w:rsidRDefault="004B1021" w:rsidP="004B1021">
            <w:pPr>
              <w:spacing w:before="40" w:after="40" w:line="280" w:lineRule="atLeast"/>
              <w:rPr>
                <w:sz w:val="20"/>
              </w:rPr>
            </w:pPr>
            <w:r w:rsidRPr="004B1021">
              <w:rPr>
                <w:sz w:val="20"/>
              </w:rPr>
              <w:t>Commit to Customer Service</w:t>
            </w:r>
          </w:p>
        </w:tc>
        <w:tc>
          <w:tcPr>
            <w:tcW w:w="4851" w:type="dxa"/>
          </w:tcPr>
          <w:p w14:paraId="6FCA87B5" w14:textId="77777777" w:rsidR="004B1021" w:rsidRPr="004B1021" w:rsidRDefault="004B1021" w:rsidP="004B1021">
            <w:pPr>
              <w:spacing w:before="40" w:after="40" w:line="280" w:lineRule="atLeast"/>
              <w:rPr>
                <w:sz w:val="20"/>
              </w:rPr>
            </w:pPr>
            <w:r w:rsidRPr="004B1021">
              <w:rPr>
                <w:sz w:val="20"/>
              </w:rPr>
              <w:t>Provide customer-focused services in line with public sector and organisational objectives</w:t>
            </w:r>
          </w:p>
        </w:tc>
        <w:tc>
          <w:tcPr>
            <w:tcW w:w="1668" w:type="dxa"/>
          </w:tcPr>
          <w:p w14:paraId="47C51A8C" w14:textId="77777777" w:rsidR="004B1021" w:rsidRPr="004B1021" w:rsidRDefault="004B1021" w:rsidP="004B1021">
            <w:pPr>
              <w:spacing w:before="40" w:after="40" w:line="280" w:lineRule="atLeast"/>
              <w:rPr>
                <w:sz w:val="20"/>
              </w:rPr>
            </w:pPr>
            <w:r w:rsidRPr="004B1021">
              <w:rPr>
                <w:sz w:val="20"/>
              </w:rPr>
              <w:t>Advanced</w:t>
            </w:r>
          </w:p>
        </w:tc>
      </w:tr>
      <w:tr w:rsidR="004B1021" w:rsidRPr="004B1021" w14:paraId="2A1C88C1" w14:textId="77777777" w:rsidTr="00600F29">
        <w:trPr>
          <w:cantSplit/>
        </w:trPr>
        <w:tc>
          <w:tcPr>
            <w:tcW w:w="1276" w:type="dxa"/>
          </w:tcPr>
          <w:p w14:paraId="3FE8922F" w14:textId="77777777" w:rsidR="004B1021" w:rsidRPr="004B1021" w:rsidRDefault="004B1021" w:rsidP="004B1021">
            <w:pPr>
              <w:rPr>
                <w:sz w:val="20"/>
              </w:rPr>
            </w:pPr>
            <w:r w:rsidRPr="004B1021">
              <w:rPr>
                <w:noProof/>
                <w:sz w:val="20"/>
                <w:lang w:eastAsia="en-AU"/>
              </w:rPr>
              <w:drawing>
                <wp:inline distT="0" distB="0" distL="0" distR="0" wp14:anchorId="3FD50D40" wp14:editId="6B6A1BA0">
                  <wp:extent cx="416966" cy="416966"/>
                  <wp:effectExtent l="0" t="0" r="2540" b="2540"/>
                  <wp:docPr id="737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83CDE21" w14:textId="77777777" w:rsidR="004B1021" w:rsidRPr="004B1021" w:rsidRDefault="004B1021" w:rsidP="004B1021">
            <w:pPr>
              <w:spacing w:before="40" w:after="40" w:line="280" w:lineRule="atLeast"/>
              <w:rPr>
                <w:sz w:val="20"/>
              </w:rPr>
            </w:pPr>
            <w:r w:rsidRPr="004B1021">
              <w:rPr>
                <w:sz w:val="20"/>
              </w:rPr>
              <w:t xml:space="preserve">Influence and </w:t>
            </w:r>
            <w:proofErr w:type="gramStart"/>
            <w:r w:rsidRPr="004B1021">
              <w:rPr>
                <w:sz w:val="20"/>
              </w:rPr>
              <w:t>Negotiate</w:t>
            </w:r>
            <w:proofErr w:type="gramEnd"/>
          </w:p>
        </w:tc>
        <w:tc>
          <w:tcPr>
            <w:tcW w:w="4851" w:type="dxa"/>
          </w:tcPr>
          <w:p w14:paraId="322275A6" w14:textId="77777777" w:rsidR="004B1021" w:rsidRPr="004B1021" w:rsidRDefault="004B1021" w:rsidP="004B1021">
            <w:pPr>
              <w:spacing w:before="40" w:after="40" w:line="280" w:lineRule="atLeast"/>
              <w:rPr>
                <w:sz w:val="20"/>
              </w:rPr>
            </w:pPr>
            <w:r w:rsidRPr="004B1021">
              <w:rPr>
                <w:sz w:val="20"/>
              </w:rPr>
              <w:t>Gain consensus and commitment from others, and resolve issues and conflicts</w:t>
            </w:r>
          </w:p>
        </w:tc>
        <w:tc>
          <w:tcPr>
            <w:tcW w:w="1668" w:type="dxa"/>
          </w:tcPr>
          <w:p w14:paraId="6F083D17" w14:textId="77777777" w:rsidR="004B1021" w:rsidRPr="004B1021" w:rsidRDefault="004B1021" w:rsidP="004B1021">
            <w:pPr>
              <w:spacing w:before="40" w:after="40" w:line="280" w:lineRule="atLeast"/>
              <w:rPr>
                <w:sz w:val="20"/>
              </w:rPr>
            </w:pPr>
            <w:r w:rsidRPr="004B1021">
              <w:rPr>
                <w:sz w:val="20"/>
              </w:rPr>
              <w:t>Highly Advanced</w:t>
            </w:r>
          </w:p>
        </w:tc>
      </w:tr>
      <w:tr w:rsidR="004B1021" w:rsidRPr="004B1021" w14:paraId="6A0362DF" w14:textId="77777777" w:rsidTr="00600F29">
        <w:trPr>
          <w:cantSplit/>
        </w:trPr>
        <w:tc>
          <w:tcPr>
            <w:tcW w:w="1276" w:type="dxa"/>
          </w:tcPr>
          <w:p w14:paraId="23B70F15" w14:textId="77777777" w:rsidR="004B1021" w:rsidRPr="004B1021" w:rsidRDefault="004B1021" w:rsidP="004B1021">
            <w:pPr>
              <w:rPr>
                <w:sz w:val="20"/>
              </w:rPr>
            </w:pPr>
            <w:r w:rsidRPr="004B1021">
              <w:rPr>
                <w:noProof/>
                <w:sz w:val="20"/>
                <w:lang w:eastAsia="en-AU"/>
              </w:rPr>
              <w:drawing>
                <wp:inline distT="0" distB="0" distL="0" distR="0" wp14:anchorId="60B2BEFC" wp14:editId="4455BF1C">
                  <wp:extent cx="416966" cy="416966"/>
                  <wp:effectExtent l="0" t="0" r="2540" b="2540"/>
                  <wp:docPr id="574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0CA7098" w14:textId="77777777" w:rsidR="004B1021" w:rsidRPr="004B1021" w:rsidRDefault="004B1021" w:rsidP="004B1021">
            <w:pPr>
              <w:spacing w:before="40" w:after="40" w:line="280" w:lineRule="atLeast"/>
              <w:rPr>
                <w:sz w:val="20"/>
              </w:rPr>
            </w:pPr>
            <w:r w:rsidRPr="004B1021">
              <w:rPr>
                <w:sz w:val="20"/>
              </w:rPr>
              <w:t xml:space="preserve">Plan and </w:t>
            </w:r>
            <w:proofErr w:type="gramStart"/>
            <w:r w:rsidRPr="004B1021">
              <w:rPr>
                <w:sz w:val="20"/>
              </w:rPr>
              <w:t>Prioritise</w:t>
            </w:r>
            <w:proofErr w:type="gramEnd"/>
          </w:p>
        </w:tc>
        <w:tc>
          <w:tcPr>
            <w:tcW w:w="4851" w:type="dxa"/>
          </w:tcPr>
          <w:p w14:paraId="314E5A80" w14:textId="77777777" w:rsidR="004B1021" w:rsidRPr="004B1021" w:rsidRDefault="004B1021" w:rsidP="004B1021">
            <w:pPr>
              <w:spacing w:before="40" w:after="40" w:line="280" w:lineRule="atLeast"/>
              <w:rPr>
                <w:sz w:val="20"/>
              </w:rPr>
            </w:pPr>
            <w:r w:rsidRPr="004B1021">
              <w:rPr>
                <w:sz w:val="20"/>
              </w:rPr>
              <w:t>Plan to achieve priority outcomes and respond flexibly to changing circumstances</w:t>
            </w:r>
          </w:p>
        </w:tc>
        <w:tc>
          <w:tcPr>
            <w:tcW w:w="1668" w:type="dxa"/>
          </w:tcPr>
          <w:p w14:paraId="25F2ADD4" w14:textId="77777777" w:rsidR="004B1021" w:rsidRPr="004B1021" w:rsidRDefault="004B1021" w:rsidP="004B1021">
            <w:pPr>
              <w:spacing w:before="40" w:after="40" w:line="280" w:lineRule="atLeast"/>
              <w:rPr>
                <w:sz w:val="20"/>
              </w:rPr>
            </w:pPr>
            <w:r w:rsidRPr="004B1021">
              <w:rPr>
                <w:sz w:val="20"/>
              </w:rPr>
              <w:t>Advanced</w:t>
            </w:r>
          </w:p>
        </w:tc>
      </w:tr>
      <w:tr w:rsidR="004B1021" w:rsidRPr="004B1021" w14:paraId="709790F2" w14:textId="77777777" w:rsidTr="00600F29">
        <w:trPr>
          <w:cantSplit/>
        </w:trPr>
        <w:tc>
          <w:tcPr>
            <w:tcW w:w="1276" w:type="dxa"/>
          </w:tcPr>
          <w:p w14:paraId="1EF50272" w14:textId="77777777" w:rsidR="004B1021" w:rsidRPr="004B1021" w:rsidRDefault="004B1021" w:rsidP="004B1021">
            <w:pPr>
              <w:rPr>
                <w:sz w:val="20"/>
              </w:rPr>
            </w:pPr>
            <w:r w:rsidRPr="004B1021">
              <w:rPr>
                <w:noProof/>
                <w:sz w:val="20"/>
                <w:lang w:eastAsia="en-AU"/>
              </w:rPr>
              <w:drawing>
                <wp:inline distT="0" distB="0" distL="0" distR="0" wp14:anchorId="28916ECA" wp14:editId="6E53F826">
                  <wp:extent cx="416966" cy="416966"/>
                  <wp:effectExtent l="0" t="0" r="2540" b="2540"/>
                  <wp:docPr id="932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86B8570" w14:textId="77777777" w:rsidR="004B1021" w:rsidRPr="004B1021" w:rsidRDefault="004B1021" w:rsidP="004B1021">
            <w:pPr>
              <w:spacing w:before="40" w:after="40" w:line="280" w:lineRule="atLeast"/>
              <w:rPr>
                <w:sz w:val="20"/>
              </w:rPr>
            </w:pPr>
            <w:r w:rsidRPr="004B1021">
              <w:rPr>
                <w:sz w:val="20"/>
              </w:rPr>
              <w:t>Demonstrate Accountability</w:t>
            </w:r>
          </w:p>
        </w:tc>
        <w:tc>
          <w:tcPr>
            <w:tcW w:w="4851" w:type="dxa"/>
          </w:tcPr>
          <w:p w14:paraId="0FEAF21B" w14:textId="77777777" w:rsidR="004B1021" w:rsidRPr="004B1021" w:rsidRDefault="004B1021" w:rsidP="004B1021">
            <w:pPr>
              <w:spacing w:before="40" w:after="40" w:line="280" w:lineRule="atLeast"/>
              <w:rPr>
                <w:sz w:val="20"/>
              </w:rPr>
            </w:pPr>
            <w:r w:rsidRPr="004B1021">
              <w:rPr>
                <w:sz w:val="20"/>
              </w:rPr>
              <w:t>Be proactive and responsible for own actions, and adhere to legislation, policy and guidelines</w:t>
            </w:r>
          </w:p>
        </w:tc>
        <w:tc>
          <w:tcPr>
            <w:tcW w:w="1668" w:type="dxa"/>
          </w:tcPr>
          <w:p w14:paraId="4356B62C" w14:textId="77777777" w:rsidR="004B1021" w:rsidRPr="004B1021" w:rsidRDefault="004B1021" w:rsidP="004B1021">
            <w:pPr>
              <w:spacing w:before="40" w:after="40" w:line="280" w:lineRule="atLeast"/>
              <w:rPr>
                <w:sz w:val="20"/>
              </w:rPr>
            </w:pPr>
            <w:r w:rsidRPr="004B1021">
              <w:rPr>
                <w:sz w:val="20"/>
              </w:rPr>
              <w:t>Advanced</w:t>
            </w:r>
          </w:p>
        </w:tc>
      </w:tr>
      <w:tr w:rsidR="004B1021" w:rsidRPr="004B1021" w14:paraId="7EB8594D" w14:textId="77777777" w:rsidTr="00600F29">
        <w:trPr>
          <w:cantSplit/>
        </w:trPr>
        <w:tc>
          <w:tcPr>
            <w:tcW w:w="1276" w:type="dxa"/>
          </w:tcPr>
          <w:p w14:paraId="01A08163" w14:textId="77777777" w:rsidR="004B1021" w:rsidRPr="004B1021" w:rsidRDefault="004B1021" w:rsidP="004B1021">
            <w:pPr>
              <w:rPr>
                <w:sz w:val="20"/>
              </w:rPr>
            </w:pPr>
            <w:r w:rsidRPr="004B1021">
              <w:rPr>
                <w:noProof/>
                <w:sz w:val="20"/>
                <w:lang w:eastAsia="en-AU"/>
              </w:rPr>
              <w:drawing>
                <wp:inline distT="0" distB="0" distL="0" distR="0" wp14:anchorId="2663AF8F" wp14:editId="5952CE33">
                  <wp:extent cx="416966" cy="416966"/>
                  <wp:effectExtent l="0" t="0" r="2540" b="2540"/>
                  <wp:docPr id="291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59074FB" w14:textId="77777777" w:rsidR="004B1021" w:rsidRPr="004B1021" w:rsidRDefault="004B1021" w:rsidP="004B1021">
            <w:pPr>
              <w:spacing w:before="40" w:after="40" w:line="280" w:lineRule="atLeast"/>
              <w:rPr>
                <w:sz w:val="20"/>
              </w:rPr>
            </w:pPr>
            <w:r w:rsidRPr="004B1021">
              <w:rPr>
                <w:sz w:val="20"/>
              </w:rPr>
              <w:t>Finance</w:t>
            </w:r>
          </w:p>
        </w:tc>
        <w:tc>
          <w:tcPr>
            <w:tcW w:w="4851" w:type="dxa"/>
          </w:tcPr>
          <w:p w14:paraId="11E475A3" w14:textId="77777777" w:rsidR="004B1021" w:rsidRPr="004B1021" w:rsidRDefault="004B1021" w:rsidP="004B1021">
            <w:pPr>
              <w:spacing w:before="40" w:after="40" w:line="280" w:lineRule="atLeast"/>
              <w:rPr>
                <w:sz w:val="20"/>
              </w:rPr>
            </w:pPr>
            <w:r w:rsidRPr="004B1021">
              <w:rPr>
                <w:sz w:val="20"/>
              </w:rPr>
              <w:t>Understand and apply financial processes to achieve value for money and minimise financial risk</w:t>
            </w:r>
          </w:p>
        </w:tc>
        <w:tc>
          <w:tcPr>
            <w:tcW w:w="1668" w:type="dxa"/>
          </w:tcPr>
          <w:p w14:paraId="0481B2E3" w14:textId="77777777" w:rsidR="004B1021" w:rsidRPr="004B1021" w:rsidRDefault="004B1021" w:rsidP="004B1021">
            <w:pPr>
              <w:spacing w:before="40" w:after="40" w:line="280" w:lineRule="atLeast"/>
              <w:rPr>
                <w:sz w:val="20"/>
              </w:rPr>
            </w:pPr>
            <w:r w:rsidRPr="004B1021">
              <w:rPr>
                <w:sz w:val="20"/>
              </w:rPr>
              <w:t>Adept</w:t>
            </w:r>
          </w:p>
        </w:tc>
      </w:tr>
      <w:tr w:rsidR="004B1021" w:rsidRPr="004B1021" w14:paraId="26989E98" w14:textId="77777777" w:rsidTr="00600F29">
        <w:trPr>
          <w:cantSplit/>
        </w:trPr>
        <w:tc>
          <w:tcPr>
            <w:tcW w:w="1276" w:type="dxa"/>
          </w:tcPr>
          <w:p w14:paraId="0146E322" w14:textId="77777777" w:rsidR="004B1021" w:rsidRPr="004B1021" w:rsidRDefault="004B1021" w:rsidP="004B1021">
            <w:pPr>
              <w:rPr>
                <w:sz w:val="20"/>
              </w:rPr>
            </w:pPr>
            <w:r w:rsidRPr="004B1021">
              <w:rPr>
                <w:noProof/>
                <w:sz w:val="20"/>
                <w:lang w:eastAsia="en-AU"/>
              </w:rPr>
              <w:drawing>
                <wp:inline distT="0" distB="0" distL="0" distR="0" wp14:anchorId="58BD5EC8" wp14:editId="73E9F9D7">
                  <wp:extent cx="416966" cy="416966"/>
                  <wp:effectExtent l="0" t="0" r="2540" b="2540"/>
                  <wp:docPr id="128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784344B" w14:textId="77777777" w:rsidR="004B1021" w:rsidRPr="004B1021" w:rsidRDefault="004B1021" w:rsidP="004B1021">
            <w:pPr>
              <w:spacing w:before="40" w:after="40" w:line="280" w:lineRule="atLeast"/>
              <w:rPr>
                <w:sz w:val="20"/>
              </w:rPr>
            </w:pPr>
            <w:r w:rsidRPr="004B1021">
              <w:rPr>
                <w:sz w:val="20"/>
              </w:rPr>
              <w:t>Technology</w:t>
            </w:r>
          </w:p>
        </w:tc>
        <w:tc>
          <w:tcPr>
            <w:tcW w:w="4851" w:type="dxa"/>
          </w:tcPr>
          <w:p w14:paraId="45D6E9C7" w14:textId="77777777" w:rsidR="004B1021" w:rsidRPr="004B1021" w:rsidRDefault="004B1021" w:rsidP="004B1021">
            <w:pPr>
              <w:spacing w:before="40" w:after="40" w:line="280" w:lineRule="atLeast"/>
              <w:rPr>
                <w:sz w:val="20"/>
              </w:rPr>
            </w:pPr>
            <w:r w:rsidRPr="004B1021">
              <w:rPr>
                <w:sz w:val="20"/>
              </w:rPr>
              <w:t>Understand and use available technologies to maximise efficiencies and effectiveness</w:t>
            </w:r>
          </w:p>
        </w:tc>
        <w:tc>
          <w:tcPr>
            <w:tcW w:w="1668" w:type="dxa"/>
          </w:tcPr>
          <w:p w14:paraId="60D3560A" w14:textId="77777777" w:rsidR="004B1021" w:rsidRPr="004B1021" w:rsidRDefault="004B1021" w:rsidP="004B1021">
            <w:pPr>
              <w:spacing w:before="40" w:after="40" w:line="280" w:lineRule="atLeast"/>
              <w:rPr>
                <w:sz w:val="20"/>
              </w:rPr>
            </w:pPr>
            <w:r w:rsidRPr="004B1021">
              <w:rPr>
                <w:sz w:val="20"/>
              </w:rPr>
              <w:t>Adept</w:t>
            </w:r>
          </w:p>
        </w:tc>
      </w:tr>
      <w:tr w:rsidR="004B1021" w:rsidRPr="004B1021" w14:paraId="330DE023" w14:textId="77777777" w:rsidTr="00600F29">
        <w:trPr>
          <w:cantSplit/>
        </w:trPr>
        <w:tc>
          <w:tcPr>
            <w:tcW w:w="1276" w:type="dxa"/>
          </w:tcPr>
          <w:p w14:paraId="4808E258" w14:textId="77777777" w:rsidR="004B1021" w:rsidRPr="004B1021" w:rsidRDefault="004B1021" w:rsidP="004B1021">
            <w:pPr>
              <w:rPr>
                <w:sz w:val="20"/>
              </w:rPr>
            </w:pPr>
            <w:r w:rsidRPr="004B1021">
              <w:rPr>
                <w:noProof/>
                <w:sz w:val="20"/>
                <w:lang w:eastAsia="en-AU"/>
              </w:rPr>
              <w:drawing>
                <wp:inline distT="0" distB="0" distL="0" distR="0" wp14:anchorId="7222AF7A" wp14:editId="37B2DD9F">
                  <wp:extent cx="416966" cy="416966"/>
                  <wp:effectExtent l="0" t="0" r="2540" b="2540"/>
                  <wp:docPr id="486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7E01B7E" w14:textId="77777777" w:rsidR="004B1021" w:rsidRPr="004B1021" w:rsidRDefault="004B1021" w:rsidP="004B1021">
            <w:pPr>
              <w:spacing w:before="40" w:after="40" w:line="280" w:lineRule="atLeast"/>
              <w:rPr>
                <w:sz w:val="20"/>
              </w:rPr>
            </w:pPr>
            <w:r w:rsidRPr="004B1021">
              <w:rPr>
                <w:sz w:val="20"/>
              </w:rPr>
              <w:t>Procurement and Contract Management</w:t>
            </w:r>
          </w:p>
        </w:tc>
        <w:tc>
          <w:tcPr>
            <w:tcW w:w="4851" w:type="dxa"/>
          </w:tcPr>
          <w:p w14:paraId="0B8B7C3B" w14:textId="77777777" w:rsidR="004B1021" w:rsidRPr="004B1021" w:rsidRDefault="004B1021" w:rsidP="004B1021">
            <w:pPr>
              <w:spacing w:before="40" w:after="40" w:line="280" w:lineRule="atLeast"/>
              <w:rPr>
                <w:sz w:val="20"/>
              </w:rPr>
            </w:pPr>
            <w:r w:rsidRPr="004B1021">
              <w:rPr>
                <w:sz w:val="20"/>
              </w:rPr>
              <w:t>Understand and apply procurement processes to ensure effective purchasing and contract performance</w:t>
            </w:r>
          </w:p>
        </w:tc>
        <w:tc>
          <w:tcPr>
            <w:tcW w:w="1668" w:type="dxa"/>
          </w:tcPr>
          <w:p w14:paraId="0129938B" w14:textId="77777777" w:rsidR="004B1021" w:rsidRPr="004B1021" w:rsidRDefault="004B1021" w:rsidP="004B1021">
            <w:pPr>
              <w:spacing w:before="40" w:after="40" w:line="280" w:lineRule="atLeast"/>
              <w:rPr>
                <w:sz w:val="20"/>
              </w:rPr>
            </w:pPr>
            <w:r w:rsidRPr="004B1021">
              <w:rPr>
                <w:sz w:val="20"/>
              </w:rPr>
              <w:t>Adept</w:t>
            </w:r>
          </w:p>
        </w:tc>
      </w:tr>
      <w:tr w:rsidR="004B1021" w:rsidRPr="004B1021" w14:paraId="754C9A1E" w14:textId="77777777" w:rsidTr="00600F29">
        <w:trPr>
          <w:cantSplit/>
        </w:trPr>
        <w:tc>
          <w:tcPr>
            <w:tcW w:w="1276" w:type="dxa"/>
          </w:tcPr>
          <w:p w14:paraId="365C71BD" w14:textId="77777777" w:rsidR="004B1021" w:rsidRPr="004B1021" w:rsidRDefault="004B1021" w:rsidP="004B1021">
            <w:pPr>
              <w:rPr>
                <w:sz w:val="20"/>
              </w:rPr>
            </w:pPr>
            <w:r w:rsidRPr="004B1021">
              <w:rPr>
                <w:noProof/>
                <w:sz w:val="20"/>
                <w:lang w:eastAsia="en-AU"/>
              </w:rPr>
              <w:drawing>
                <wp:inline distT="0" distB="0" distL="0" distR="0" wp14:anchorId="63ECF1CE" wp14:editId="14054BE6">
                  <wp:extent cx="416966" cy="416966"/>
                  <wp:effectExtent l="0" t="0" r="2540" b="2540"/>
                  <wp:docPr id="845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3842888" w14:textId="77777777" w:rsidR="004B1021" w:rsidRPr="004B1021" w:rsidRDefault="004B1021" w:rsidP="004B1021">
            <w:pPr>
              <w:spacing w:before="40" w:after="40" w:line="280" w:lineRule="atLeast"/>
              <w:rPr>
                <w:sz w:val="20"/>
              </w:rPr>
            </w:pPr>
            <w:r w:rsidRPr="004B1021">
              <w:rPr>
                <w:sz w:val="20"/>
              </w:rPr>
              <w:t>Project Management</w:t>
            </w:r>
          </w:p>
        </w:tc>
        <w:tc>
          <w:tcPr>
            <w:tcW w:w="4851" w:type="dxa"/>
          </w:tcPr>
          <w:p w14:paraId="5013A280" w14:textId="77777777" w:rsidR="004B1021" w:rsidRPr="004B1021" w:rsidRDefault="004B1021" w:rsidP="004B1021">
            <w:pPr>
              <w:spacing w:before="40" w:after="40" w:line="280" w:lineRule="atLeast"/>
              <w:rPr>
                <w:sz w:val="20"/>
              </w:rPr>
            </w:pPr>
            <w:r w:rsidRPr="004B1021">
              <w:rPr>
                <w:sz w:val="20"/>
              </w:rPr>
              <w:t>Understand and apply effective planning, coordination and control methods</w:t>
            </w:r>
          </w:p>
        </w:tc>
        <w:tc>
          <w:tcPr>
            <w:tcW w:w="1668" w:type="dxa"/>
          </w:tcPr>
          <w:p w14:paraId="1C4DF214" w14:textId="77777777" w:rsidR="004B1021" w:rsidRPr="004B1021" w:rsidRDefault="004B1021" w:rsidP="004B1021">
            <w:pPr>
              <w:spacing w:before="40" w:after="40" w:line="280" w:lineRule="atLeast"/>
              <w:rPr>
                <w:sz w:val="20"/>
              </w:rPr>
            </w:pPr>
            <w:r w:rsidRPr="004B1021">
              <w:rPr>
                <w:sz w:val="20"/>
              </w:rPr>
              <w:t>Advanced</w:t>
            </w:r>
          </w:p>
        </w:tc>
      </w:tr>
      <w:tr w:rsidR="004B1021" w:rsidRPr="004B1021" w14:paraId="1CD9C362" w14:textId="77777777" w:rsidTr="00600F29">
        <w:trPr>
          <w:cantSplit/>
        </w:trPr>
        <w:tc>
          <w:tcPr>
            <w:tcW w:w="1276" w:type="dxa"/>
          </w:tcPr>
          <w:p w14:paraId="16C15B39" w14:textId="77777777" w:rsidR="004B1021" w:rsidRPr="004B1021" w:rsidRDefault="004B1021" w:rsidP="004B1021">
            <w:pPr>
              <w:rPr>
                <w:sz w:val="20"/>
              </w:rPr>
            </w:pPr>
            <w:r w:rsidRPr="004B1021">
              <w:rPr>
                <w:noProof/>
                <w:sz w:val="20"/>
                <w:lang w:eastAsia="en-AU"/>
              </w:rPr>
              <w:drawing>
                <wp:inline distT="0" distB="0" distL="0" distR="0" wp14:anchorId="2A3D64C9" wp14:editId="10504FA2">
                  <wp:extent cx="416966" cy="416966"/>
                  <wp:effectExtent l="0" t="0" r="2540" b="2540"/>
                  <wp:docPr id="6819"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2D569F5" w14:textId="77777777" w:rsidR="004B1021" w:rsidRPr="004B1021" w:rsidRDefault="004B1021" w:rsidP="004B1021">
            <w:pPr>
              <w:spacing w:before="40" w:after="40" w:line="280" w:lineRule="atLeast"/>
              <w:rPr>
                <w:sz w:val="20"/>
              </w:rPr>
            </w:pPr>
            <w:r w:rsidRPr="004B1021">
              <w:rPr>
                <w:sz w:val="20"/>
              </w:rPr>
              <w:t>Optimise Business Outcomes</w:t>
            </w:r>
          </w:p>
        </w:tc>
        <w:tc>
          <w:tcPr>
            <w:tcW w:w="4851" w:type="dxa"/>
          </w:tcPr>
          <w:p w14:paraId="204EA416" w14:textId="77777777" w:rsidR="004B1021" w:rsidRPr="004B1021" w:rsidRDefault="004B1021" w:rsidP="004B1021">
            <w:pPr>
              <w:spacing w:before="40" w:after="40" w:line="280" w:lineRule="atLeast"/>
              <w:rPr>
                <w:sz w:val="20"/>
              </w:rPr>
            </w:pPr>
            <w:r w:rsidRPr="004B1021">
              <w:rPr>
                <w:sz w:val="20"/>
              </w:rPr>
              <w:t>Manage people and resources effectively to achieve public value</w:t>
            </w:r>
          </w:p>
        </w:tc>
        <w:tc>
          <w:tcPr>
            <w:tcW w:w="1668" w:type="dxa"/>
          </w:tcPr>
          <w:p w14:paraId="03F9AFCB" w14:textId="63F52454" w:rsidR="004B1021" w:rsidRPr="004B1021" w:rsidRDefault="004B1021" w:rsidP="004B1021">
            <w:pPr>
              <w:spacing w:before="40" w:after="40" w:line="280" w:lineRule="atLeast"/>
              <w:rPr>
                <w:sz w:val="20"/>
              </w:rPr>
            </w:pPr>
            <w:r w:rsidRPr="004B1021">
              <w:rPr>
                <w:sz w:val="20"/>
              </w:rPr>
              <w:t>Ad</w:t>
            </w:r>
            <w:r w:rsidR="000E6AC5">
              <w:rPr>
                <w:sz w:val="20"/>
              </w:rPr>
              <w:t>vanced</w:t>
            </w:r>
          </w:p>
        </w:tc>
      </w:tr>
    </w:tbl>
    <w:p w14:paraId="692948C3" w14:textId="77777777" w:rsidR="004B1021" w:rsidRPr="004B1021" w:rsidRDefault="004B1021" w:rsidP="004B1021">
      <w:pPr>
        <w:contextualSpacing/>
      </w:pPr>
    </w:p>
    <w:p w14:paraId="5066FF1A" w14:textId="6B798D95" w:rsidR="00C80AB8" w:rsidRDefault="00C80AB8" w:rsidP="001203EE">
      <w:pPr>
        <w:contextualSpacing/>
      </w:pPr>
    </w:p>
    <w:sectPr w:rsidR="00C80AB8" w:rsidSect="00115AF2">
      <w:footerReference w:type="default" r:id="rId19"/>
      <w:footerReference w:type="first" r:id="rId20"/>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190B3" w14:textId="77777777" w:rsidR="00C47C19" w:rsidRDefault="00C47C19" w:rsidP="00AC273D">
      <w:pPr>
        <w:spacing w:after="0"/>
      </w:pPr>
      <w:r>
        <w:separator/>
      </w:r>
    </w:p>
  </w:endnote>
  <w:endnote w:type="continuationSeparator" w:id="0">
    <w:p w14:paraId="0FFBE91C" w14:textId="77777777" w:rsidR="00C47C19" w:rsidRDefault="00C47C19" w:rsidP="00AC273D">
      <w:pPr>
        <w:spacing w:after="0"/>
      </w:pPr>
      <w:r>
        <w:continuationSeparator/>
      </w:r>
    </w:p>
  </w:endnote>
  <w:endnote w:type="continuationNotice" w:id="1">
    <w:p w14:paraId="51CAEBD4" w14:textId="77777777" w:rsidR="00C47C19" w:rsidRDefault="00C47C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9B26" w14:textId="796FA805" w:rsidR="00115AF2" w:rsidRDefault="00115AF2" w:rsidP="00F20050">
    <w:pPr>
      <w:pStyle w:val="Footer"/>
      <w:tabs>
        <w:tab w:val="clear" w:pos="4513"/>
        <w:tab w:val="center" w:pos="5103"/>
      </w:tabs>
    </w:pPr>
    <w:r w:rsidRPr="00E97E4E">
      <w:rPr>
        <w:color w:val="262626" w:themeColor="text1" w:themeTint="D9"/>
      </w:rPr>
      <w:t xml:space="preserve">Role Description </w:t>
    </w:r>
    <w:r w:rsidR="00342A7B">
      <w:rPr>
        <w:color w:val="262626" w:themeColor="text1" w:themeTint="D9"/>
      </w:rPr>
      <w:t xml:space="preserve">Executive Director </w:t>
    </w:r>
    <w:r w:rsidR="00961D81">
      <w:rPr>
        <w:color w:val="262626" w:themeColor="text1" w:themeTint="D9"/>
      </w:rPr>
      <w:t>Climate Change</w:t>
    </w:r>
    <w:r w:rsidR="00342A7B">
      <w:rPr>
        <w:color w:val="262626" w:themeColor="text1" w:themeTint="D9"/>
      </w:rPr>
      <w:t xml:space="preserve"> and Strategy</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4B4BB52E" wp14:editId="3272792F">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1368BC90" w14:textId="77777777" w:rsidR="00A90F97" w:rsidRPr="001E2B26" w:rsidRDefault="00A90F97" w:rsidP="00051237">
    <w:pPr>
      <w:pStyle w:val="Footer"/>
      <w:rPr>
        <w:sz w:val="12"/>
        <w:szCs w:val="12"/>
      </w:rPr>
    </w:pPr>
  </w:p>
  <w:p w14:paraId="34168A89"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8A2FA"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6E413D77"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6C9FC0E3" wp14:editId="47B7A2E0">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57DFE69B"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9794A" w14:textId="77777777" w:rsidR="00C47C19" w:rsidRDefault="00C47C19" w:rsidP="00AC273D">
      <w:pPr>
        <w:spacing w:after="0"/>
      </w:pPr>
      <w:r>
        <w:separator/>
      </w:r>
    </w:p>
  </w:footnote>
  <w:footnote w:type="continuationSeparator" w:id="0">
    <w:p w14:paraId="72D11C35" w14:textId="77777777" w:rsidR="00C47C19" w:rsidRDefault="00C47C19" w:rsidP="00AC273D">
      <w:pPr>
        <w:spacing w:after="0"/>
      </w:pPr>
      <w:r>
        <w:continuationSeparator/>
      </w:r>
    </w:p>
  </w:footnote>
  <w:footnote w:type="continuationNotice" w:id="1">
    <w:p w14:paraId="7874ED98" w14:textId="77777777" w:rsidR="00C47C19" w:rsidRDefault="00C47C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BE3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158E7"/>
    <w:multiLevelType w:val="multilevel"/>
    <w:tmpl w:val="A516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711471"/>
    <w:multiLevelType w:val="multilevel"/>
    <w:tmpl w:val="AF1C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1D06E0"/>
    <w:multiLevelType w:val="multilevel"/>
    <w:tmpl w:val="D348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AF4CFF"/>
    <w:multiLevelType w:val="multilevel"/>
    <w:tmpl w:val="46C4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2F01AE"/>
    <w:multiLevelType w:val="multilevel"/>
    <w:tmpl w:val="2EFE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294904"/>
    <w:multiLevelType w:val="multilevel"/>
    <w:tmpl w:val="E5B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F30FE3"/>
    <w:multiLevelType w:val="hybridMultilevel"/>
    <w:tmpl w:val="678E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226F32"/>
    <w:multiLevelType w:val="multilevel"/>
    <w:tmpl w:val="3472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65237"/>
    <w:multiLevelType w:val="multilevel"/>
    <w:tmpl w:val="92D0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CFF39B7"/>
    <w:multiLevelType w:val="multilevel"/>
    <w:tmpl w:val="B128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7D1349"/>
    <w:multiLevelType w:val="multilevel"/>
    <w:tmpl w:val="38C4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DD202A"/>
    <w:multiLevelType w:val="multilevel"/>
    <w:tmpl w:val="5E16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071FA0"/>
    <w:multiLevelType w:val="multilevel"/>
    <w:tmpl w:val="C55C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C96F77"/>
    <w:multiLevelType w:val="hybridMultilevel"/>
    <w:tmpl w:val="DC2079B0"/>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6" w15:restartNumberingAfterBreak="0">
    <w:nsid w:val="4F897EB2"/>
    <w:multiLevelType w:val="multilevel"/>
    <w:tmpl w:val="7BF0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0C05A6"/>
    <w:multiLevelType w:val="hybridMultilevel"/>
    <w:tmpl w:val="A970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F30DF8"/>
    <w:multiLevelType w:val="hybridMultilevel"/>
    <w:tmpl w:val="2EA6E642"/>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9" w15:restartNumberingAfterBreak="0">
    <w:nsid w:val="540C0DA6"/>
    <w:multiLevelType w:val="multilevel"/>
    <w:tmpl w:val="A1D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4B1509"/>
    <w:multiLevelType w:val="hybridMultilevel"/>
    <w:tmpl w:val="7AC0A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C126190"/>
    <w:multiLevelType w:val="multilevel"/>
    <w:tmpl w:val="532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4727D"/>
    <w:multiLevelType w:val="multilevel"/>
    <w:tmpl w:val="CC86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404E2"/>
    <w:multiLevelType w:val="multilevel"/>
    <w:tmpl w:val="2790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475098"/>
    <w:multiLevelType w:val="multilevel"/>
    <w:tmpl w:val="3CF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094BEC"/>
    <w:multiLevelType w:val="multilevel"/>
    <w:tmpl w:val="C022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EF5AD3"/>
    <w:multiLevelType w:val="hybridMultilevel"/>
    <w:tmpl w:val="ED22F6F2"/>
    <w:lvl w:ilvl="0" w:tplc="6C0C8594">
      <w:start w:val="1"/>
      <w:numFmt w:val="bullet"/>
      <w:lvlText w:val="•"/>
      <w:lvlJc w:val="left"/>
      <w:pPr>
        <w:ind w:left="720" w:hanging="360"/>
      </w:pPr>
      <w:rPr>
        <w:rFonts w:ascii="Times New Roman" w:hAnsi="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6309970">
    <w:abstractNumId w:val="9"/>
  </w:num>
  <w:num w:numId="2" w16cid:durableId="1125078481">
    <w:abstractNumId w:val="7"/>
  </w:num>
  <w:num w:numId="3" w16cid:durableId="276135201">
    <w:abstractNumId w:val="6"/>
  </w:num>
  <w:num w:numId="4" w16cid:durableId="501243372">
    <w:abstractNumId w:val="5"/>
  </w:num>
  <w:num w:numId="5" w16cid:durableId="81267116">
    <w:abstractNumId w:val="4"/>
  </w:num>
  <w:num w:numId="6" w16cid:durableId="2124302107">
    <w:abstractNumId w:val="8"/>
  </w:num>
  <w:num w:numId="7" w16cid:durableId="17509748">
    <w:abstractNumId w:val="3"/>
  </w:num>
  <w:num w:numId="8" w16cid:durableId="1830092978">
    <w:abstractNumId w:val="2"/>
  </w:num>
  <w:num w:numId="9" w16cid:durableId="1534924240">
    <w:abstractNumId w:val="1"/>
  </w:num>
  <w:num w:numId="10" w16cid:durableId="156504973">
    <w:abstractNumId w:val="0"/>
  </w:num>
  <w:num w:numId="11" w16cid:durableId="1025057791">
    <w:abstractNumId w:val="34"/>
  </w:num>
  <w:num w:numId="12" w16cid:durableId="1085765340">
    <w:abstractNumId w:val="31"/>
  </w:num>
  <w:num w:numId="13" w16cid:durableId="528949963">
    <w:abstractNumId w:val="20"/>
  </w:num>
  <w:num w:numId="14" w16cid:durableId="16542869">
    <w:abstractNumId w:val="18"/>
  </w:num>
  <w:num w:numId="15" w16cid:durableId="1293560880">
    <w:abstractNumId w:val="38"/>
  </w:num>
  <w:num w:numId="16" w16cid:durableId="1959214171">
    <w:abstractNumId w:val="9"/>
  </w:num>
  <w:num w:numId="17" w16cid:durableId="1709524930">
    <w:abstractNumId w:val="16"/>
  </w:num>
  <w:num w:numId="18" w16cid:durableId="1085299754">
    <w:abstractNumId w:val="24"/>
  </w:num>
  <w:num w:numId="19" w16cid:durableId="811212859">
    <w:abstractNumId w:val="10"/>
  </w:num>
  <w:num w:numId="20" w16cid:durableId="836385807">
    <w:abstractNumId w:val="36"/>
  </w:num>
  <w:num w:numId="21" w16cid:durableId="1598177051">
    <w:abstractNumId w:val="15"/>
  </w:num>
  <w:num w:numId="22" w16cid:durableId="791635660">
    <w:abstractNumId w:val="14"/>
  </w:num>
  <w:num w:numId="23" w16cid:durableId="1910115058">
    <w:abstractNumId w:val="35"/>
  </w:num>
  <w:num w:numId="24" w16cid:durableId="1694070057">
    <w:abstractNumId w:val="19"/>
  </w:num>
  <w:num w:numId="25" w16cid:durableId="154690551">
    <w:abstractNumId w:val="33"/>
  </w:num>
  <w:num w:numId="26" w16cid:durableId="1564675990">
    <w:abstractNumId w:val="11"/>
  </w:num>
  <w:num w:numId="27" w16cid:durableId="2035616188">
    <w:abstractNumId w:val="21"/>
  </w:num>
  <w:num w:numId="28" w16cid:durableId="689792863">
    <w:abstractNumId w:val="32"/>
  </w:num>
  <w:num w:numId="29" w16cid:durableId="1934582214">
    <w:abstractNumId w:val="37"/>
  </w:num>
  <w:num w:numId="30" w16cid:durableId="1967353106">
    <w:abstractNumId w:val="23"/>
  </w:num>
  <w:num w:numId="31" w16cid:durableId="1190295477">
    <w:abstractNumId w:val="13"/>
  </w:num>
  <w:num w:numId="32" w16cid:durableId="519315649">
    <w:abstractNumId w:val="22"/>
  </w:num>
  <w:num w:numId="33" w16cid:durableId="285933666">
    <w:abstractNumId w:val="26"/>
  </w:num>
  <w:num w:numId="34" w16cid:durableId="1004164747">
    <w:abstractNumId w:val="17"/>
  </w:num>
  <w:num w:numId="35" w16cid:durableId="1758669092">
    <w:abstractNumId w:val="12"/>
  </w:num>
  <w:num w:numId="36" w16cid:durableId="2146384823">
    <w:abstractNumId w:val="29"/>
  </w:num>
  <w:num w:numId="37" w16cid:durableId="468985326">
    <w:abstractNumId w:val="25"/>
  </w:num>
  <w:num w:numId="38" w16cid:durableId="2018922873">
    <w:abstractNumId w:val="28"/>
  </w:num>
  <w:num w:numId="39" w16cid:durableId="429861804">
    <w:abstractNumId w:val="27"/>
  </w:num>
  <w:num w:numId="40" w16cid:durableId="816264355">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1C35"/>
    <w:rsid w:val="0000267F"/>
    <w:rsid w:val="000044A0"/>
    <w:rsid w:val="00006660"/>
    <w:rsid w:val="0000701C"/>
    <w:rsid w:val="0001128F"/>
    <w:rsid w:val="0001270C"/>
    <w:rsid w:val="0001333C"/>
    <w:rsid w:val="00014206"/>
    <w:rsid w:val="00014E98"/>
    <w:rsid w:val="00014EB8"/>
    <w:rsid w:val="000151A9"/>
    <w:rsid w:val="00016F24"/>
    <w:rsid w:val="00021C23"/>
    <w:rsid w:val="000227A8"/>
    <w:rsid w:val="0002436B"/>
    <w:rsid w:val="0002595E"/>
    <w:rsid w:val="0002629C"/>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012A"/>
    <w:rsid w:val="000618BB"/>
    <w:rsid w:val="0006207C"/>
    <w:rsid w:val="000626FD"/>
    <w:rsid w:val="00062859"/>
    <w:rsid w:val="0006316C"/>
    <w:rsid w:val="000673A1"/>
    <w:rsid w:val="00071200"/>
    <w:rsid w:val="00073B28"/>
    <w:rsid w:val="00073CAA"/>
    <w:rsid w:val="00073F1E"/>
    <w:rsid w:val="000748C3"/>
    <w:rsid w:val="00074DAA"/>
    <w:rsid w:val="000758D0"/>
    <w:rsid w:val="00076EAB"/>
    <w:rsid w:val="00077B45"/>
    <w:rsid w:val="00077DFF"/>
    <w:rsid w:val="00080046"/>
    <w:rsid w:val="00084D62"/>
    <w:rsid w:val="0008547B"/>
    <w:rsid w:val="00086B43"/>
    <w:rsid w:val="0009116E"/>
    <w:rsid w:val="000915AA"/>
    <w:rsid w:val="0009221E"/>
    <w:rsid w:val="000925CA"/>
    <w:rsid w:val="00092A99"/>
    <w:rsid w:val="00094538"/>
    <w:rsid w:val="0009663A"/>
    <w:rsid w:val="000967EB"/>
    <w:rsid w:val="000970CC"/>
    <w:rsid w:val="000975C1"/>
    <w:rsid w:val="00097C7F"/>
    <w:rsid w:val="00097CC6"/>
    <w:rsid w:val="000A14D4"/>
    <w:rsid w:val="000A16AF"/>
    <w:rsid w:val="000A22C2"/>
    <w:rsid w:val="000A2C78"/>
    <w:rsid w:val="000A2F73"/>
    <w:rsid w:val="000A417B"/>
    <w:rsid w:val="000A4E9E"/>
    <w:rsid w:val="000A75A4"/>
    <w:rsid w:val="000A78FF"/>
    <w:rsid w:val="000B1069"/>
    <w:rsid w:val="000B127E"/>
    <w:rsid w:val="000B271C"/>
    <w:rsid w:val="000B370C"/>
    <w:rsid w:val="000B4AAB"/>
    <w:rsid w:val="000B6008"/>
    <w:rsid w:val="000B6316"/>
    <w:rsid w:val="000C2AB2"/>
    <w:rsid w:val="000C3951"/>
    <w:rsid w:val="000C453F"/>
    <w:rsid w:val="000C6CBC"/>
    <w:rsid w:val="000D05E3"/>
    <w:rsid w:val="000D2070"/>
    <w:rsid w:val="000D68CE"/>
    <w:rsid w:val="000E149C"/>
    <w:rsid w:val="000E264B"/>
    <w:rsid w:val="000E2D7E"/>
    <w:rsid w:val="000E326C"/>
    <w:rsid w:val="000E4DC1"/>
    <w:rsid w:val="000E5EE6"/>
    <w:rsid w:val="000E6AC5"/>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4D9A"/>
    <w:rsid w:val="00106323"/>
    <w:rsid w:val="00106A75"/>
    <w:rsid w:val="001115A1"/>
    <w:rsid w:val="001123D7"/>
    <w:rsid w:val="0011338E"/>
    <w:rsid w:val="001142DA"/>
    <w:rsid w:val="00115AF2"/>
    <w:rsid w:val="0011627F"/>
    <w:rsid w:val="00116B0F"/>
    <w:rsid w:val="00116F0D"/>
    <w:rsid w:val="001203EE"/>
    <w:rsid w:val="00120A45"/>
    <w:rsid w:val="0012232D"/>
    <w:rsid w:val="00122685"/>
    <w:rsid w:val="00123E52"/>
    <w:rsid w:val="001245EA"/>
    <w:rsid w:val="00126219"/>
    <w:rsid w:val="0012683A"/>
    <w:rsid w:val="00130BC5"/>
    <w:rsid w:val="001312F5"/>
    <w:rsid w:val="00132343"/>
    <w:rsid w:val="00141D21"/>
    <w:rsid w:val="0014452C"/>
    <w:rsid w:val="00146A4F"/>
    <w:rsid w:val="0014725A"/>
    <w:rsid w:val="001505EB"/>
    <w:rsid w:val="00155EFA"/>
    <w:rsid w:val="00156949"/>
    <w:rsid w:val="001612BF"/>
    <w:rsid w:val="00162154"/>
    <w:rsid w:val="00162275"/>
    <w:rsid w:val="00167C9B"/>
    <w:rsid w:val="001708F4"/>
    <w:rsid w:val="0017252E"/>
    <w:rsid w:val="00172A22"/>
    <w:rsid w:val="00173FD1"/>
    <w:rsid w:val="00173FDF"/>
    <w:rsid w:val="00174755"/>
    <w:rsid w:val="00176E9A"/>
    <w:rsid w:val="00177006"/>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153"/>
    <w:rsid w:val="001C39B5"/>
    <w:rsid w:val="001C5AB7"/>
    <w:rsid w:val="001D0E26"/>
    <w:rsid w:val="001D0E78"/>
    <w:rsid w:val="001D133A"/>
    <w:rsid w:val="001D1BB5"/>
    <w:rsid w:val="001D6B1C"/>
    <w:rsid w:val="001D73CA"/>
    <w:rsid w:val="001E0F3B"/>
    <w:rsid w:val="001E2B26"/>
    <w:rsid w:val="001E444F"/>
    <w:rsid w:val="001E507E"/>
    <w:rsid w:val="001E7CA4"/>
    <w:rsid w:val="001F010B"/>
    <w:rsid w:val="001F0E79"/>
    <w:rsid w:val="001F3B8E"/>
    <w:rsid w:val="001F56AF"/>
    <w:rsid w:val="001F57B6"/>
    <w:rsid w:val="001F5938"/>
    <w:rsid w:val="001F618B"/>
    <w:rsid w:val="00202CD4"/>
    <w:rsid w:val="00203E4E"/>
    <w:rsid w:val="00206506"/>
    <w:rsid w:val="00213ED7"/>
    <w:rsid w:val="00222CC4"/>
    <w:rsid w:val="002256A0"/>
    <w:rsid w:val="002347AA"/>
    <w:rsid w:val="00237136"/>
    <w:rsid w:val="00237CFF"/>
    <w:rsid w:val="00240B8A"/>
    <w:rsid w:val="002414FF"/>
    <w:rsid w:val="00246BFC"/>
    <w:rsid w:val="00252BF9"/>
    <w:rsid w:val="002644B2"/>
    <w:rsid w:val="0027199C"/>
    <w:rsid w:val="00271FAE"/>
    <w:rsid w:val="00273008"/>
    <w:rsid w:val="002735A9"/>
    <w:rsid w:val="0028049D"/>
    <w:rsid w:val="00280676"/>
    <w:rsid w:val="00280B60"/>
    <w:rsid w:val="00284FE6"/>
    <w:rsid w:val="00285EA6"/>
    <w:rsid w:val="00285EF8"/>
    <w:rsid w:val="002863B5"/>
    <w:rsid w:val="00286B47"/>
    <w:rsid w:val="002872F7"/>
    <w:rsid w:val="002901B8"/>
    <w:rsid w:val="00294E56"/>
    <w:rsid w:val="0029638F"/>
    <w:rsid w:val="00297CDF"/>
    <w:rsid w:val="002A18A8"/>
    <w:rsid w:val="002A41AA"/>
    <w:rsid w:val="002A60C2"/>
    <w:rsid w:val="002A6833"/>
    <w:rsid w:val="002B0616"/>
    <w:rsid w:val="002B27D4"/>
    <w:rsid w:val="002C16F9"/>
    <w:rsid w:val="002C22BD"/>
    <w:rsid w:val="002C458A"/>
    <w:rsid w:val="002C4EF2"/>
    <w:rsid w:val="002D0251"/>
    <w:rsid w:val="002D4902"/>
    <w:rsid w:val="002D4927"/>
    <w:rsid w:val="002D4DE0"/>
    <w:rsid w:val="002D6639"/>
    <w:rsid w:val="002D7840"/>
    <w:rsid w:val="002D7BFE"/>
    <w:rsid w:val="002E09D3"/>
    <w:rsid w:val="002E11BF"/>
    <w:rsid w:val="002E1E69"/>
    <w:rsid w:val="002E3146"/>
    <w:rsid w:val="002F0728"/>
    <w:rsid w:val="002F07BE"/>
    <w:rsid w:val="002F2400"/>
    <w:rsid w:val="002F2D26"/>
    <w:rsid w:val="002F5361"/>
    <w:rsid w:val="002F586E"/>
    <w:rsid w:val="002F692E"/>
    <w:rsid w:val="003000E8"/>
    <w:rsid w:val="00300442"/>
    <w:rsid w:val="003008BA"/>
    <w:rsid w:val="0030097A"/>
    <w:rsid w:val="00301B57"/>
    <w:rsid w:val="00302551"/>
    <w:rsid w:val="00303DDB"/>
    <w:rsid w:val="003058CB"/>
    <w:rsid w:val="00306A65"/>
    <w:rsid w:val="00313043"/>
    <w:rsid w:val="00316790"/>
    <w:rsid w:val="00321599"/>
    <w:rsid w:val="003232D0"/>
    <w:rsid w:val="00324761"/>
    <w:rsid w:val="00324F2D"/>
    <w:rsid w:val="00326B2D"/>
    <w:rsid w:val="00327C35"/>
    <w:rsid w:val="00330331"/>
    <w:rsid w:val="00331913"/>
    <w:rsid w:val="00334ED9"/>
    <w:rsid w:val="0033590A"/>
    <w:rsid w:val="003361AE"/>
    <w:rsid w:val="00340FFF"/>
    <w:rsid w:val="00342A7B"/>
    <w:rsid w:val="0034373A"/>
    <w:rsid w:val="003452C0"/>
    <w:rsid w:val="00347774"/>
    <w:rsid w:val="00347F09"/>
    <w:rsid w:val="00351878"/>
    <w:rsid w:val="00354809"/>
    <w:rsid w:val="003551DB"/>
    <w:rsid w:val="00355AB8"/>
    <w:rsid w:val="003564E0"/>
    <w:rsid w:val="00357A64"/>
    <w:rsid w:val="00357A96"/>
    <w:rsid w:val="003605CF"/>
    <w:rsid w:val="003613F1"/>
    <w:rsid w:val="00362BD4"/>
    <w:rsid w:val="0036321F"/>
    <w:rsid w:val="00365DAF"/>
    <w:rsid w:val="00367351"/>
    <w:rsid w:val="00367CB5"/>
    <w:rsid w:val="0037183B"/>
    <w:rsid w:val="00372203"/>
    <w:rsid w:val="003726BA"/>
    <w:rsid w:val="00372FE9"/>
    <w:rsid w:val="00375A2D"/>
    <w:rsid w:val="00375B05"/>
    <w:rsid w:val="00376812"/>
    <w:rsid w:val="00376972"/>
    <w:rsid w:val="003776D3"/>
    <w:rsid w:val="003817D3"/>
    <w:rsid w:val="00385104"/>
    <w:rsid w:val="00385EAF"/>
    <w:rsid w:val="003904D7"/>
    <w:rsid w:val="00394D28"/>
    <w:rsid w:val="003A342B"/>
    <w:rsid w:val="003A3E82"/>
    <w:rsid w:val="003A5831"/>
    <w:rsid w:val="003A6939"/>
    <w:rsid w:val="003A74D5"/>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0399"/>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1B94"/>
    <w:rsid w:val="0042535F"/>
    <w:rsid w:val="004262C8"/>
    <w:rsid w:val="0042783B"/>
    <w:rsid w:val="00427DB5"/>
    <w:rsid w:val="00431FEE"/>
    <w:rsid w:val="00432763"/>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40A3"/>
    <w:rsid w:val="00465D6A"/>
    <w:rsid w:val="00466283"/>
    <w:rsid w:val="00467C2B"/>
    <w:rsid w:val="00467C54"/>
    <w:rsid w:val="00470173"/>
    <w:rsid w:val="00470D08"/>
    <w:rsid w:val="00470F86"/>
    <w:rsid w:val="004715CF"/>
    <w:rsid w:val="004715D0"/>
    <w:rsid w:val="00471DFC"/>
    <w:rsid w:val="004723DB"/>
    <w:rsid w:val="0047302C"/>
    <w:rsid w:val="004748B2"/>
    <w:rsid w:val="004750B2"/>
    <w:rsid w:val="00475E3E"/>
    <w:rsid w:val="00477577"/>
    <w:rsid w:val="004779F0"/>
    <w:rsid w:val="004809D1"/>
    <w:rsid w:val="00482EE6"/>
    <w:rsid w:val="00483B1C"/>
    <w:rsid w:val="0048548B"/>
    <w:rsid w:val="00486A12"/>
    <w:rsid w:val="0048713B"/>
    <w:rsid w:val="00487498"/>
    <w:rsid w:val="0049018A"/>
    <w:rsid w:val="00490435"/>
    <w:rsid w:val="00491437"/>
    <w:rsid w:val="004940A1"/>
    <w:rsid w:val="004955B3"/>
    <w:rsid w:val="00496C9A"/>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1021"/>
    <w:rsid w:val="004B57AD"/>
    <w:rsid w:val="004B5D0E"/>
    <w:rsid w:val="004C2EF6"/>
    <w:rsid w:val="004C5F66"/>
    <w:rsid w:val="004C659E"/>
    <w:rsid w:val="004C6F37"/>
    <w:rsid w:val="004C7ED0"/>
    <w:rsid w:val="004D1E56"/>
    <w:rsid w:val="004D29AF"/>
    <w:rsid w:val="004D3800"/>
    <w:rsid w:val="004D650A"/>
    <w:rsid w:val="004D751F"/>
    <w:rsid w:val="004E0CEE"/>
    <w:rsid w:val="004E22E6"/>
    <w:rsid w:val="004E2D25"/>
    <w:rsid w:val="004E3295"/>
    <w:rsid w:val="004E4642"/>
    <w:rsid w:val="004E4AC4"/>
    <w:rsid w:val="004E5B5A"/>
    <w:rsid w:val="004E5FCD"/>
    <w:rsid w:val="004E7C6C"/>
    <w:rsid w:val="004F0E9E"/>
    <w:rsid w:val="004F1DB4"/>
    <w:rsid w:val="004F1FB5"/>
    <w:rsid w:val="004F3F75"/>
    <w:rsid w:val="004F4AB0"/>
    <w:rsid w:val="004F6193"/>
    <w:rsid w:val="004F65C8"/>
    <w:rsid w:val="004F7C9B"/>
    <w:rsid w:val="0050275F"/>
    <w:rsid w:val="005030FB"/>
    <w:rsid w:val="005037F1"/>
    <w:rsid w:val="00506C0E"/>
    <w:rsid w:val="00506CB5"/>
    <w:rsid w:val="00506DED"/>
    <w:rsid w:val="00507F16"/>
    <w:rsid w:val="005100BE"/>
    <w:rsid w:val="005122CD"/>
    <w:rsid w:val="005132CB"/>
    <w:rsid w:val="00513F46"/>
    <w:rsid w:val="005211E4"/>
    <w:rsid w:val="0052313A"/>
    <w:rsid w:val="00524886"/>
    <w:rsid w:val="0052536E"/>
    <w:rsid w:val="00526D8B"/>
    <w:rsid w:val="00530754"/>
    <w:rsid w:val="00530E3F"/>
    <w:rsid w:val="005312F5"/>
    <w:rsid w:val="00531385"/>
    <w:rsid w:val="0053264A"/>
    <w:rsid w:val="00534812"/>
    <w:rsid w:val="00534988"/>
    <w:rsid w:val="00535742"/>
    <w:rsid w:val="005360FF"/>
    <w:rsid w:val="005368F0"/>
    <w:rsid w:val="00540C8A"/>
    <w:rsid w:val="00542412"/>
    <w:rsid w:val="00544127"/>
    <w:rsid w:val="00544DB2"/>
    <w:rsid w:val="00546A7D"/>
    <w:rsid w:val="005472AC"/>
    <w:rsid w:val="005505A0"/>
    <w:rsid w:val="005505E4"/>
    <w:rsid w:val="00550DF7"/>
    <w:rsid w:val="00550F81"/>
    <w:rsid w:val="0055213E"/>
    <w:rsid w:val="00552A7A"/>
    <w:rsid w:val="00553980"/>
    <w:rsid w:val="00554A2C"/>
    <w:rsid w:val="00556960"/>
    <w:rsid w:val="0055798E"/>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359B"/>
    <w:rsid w:val="00594A6C"/>
    <w:rsid w:val="00595E4B"/>
    <w:rsid w:val="00596C1A"/>
    <w:rsid w:val="00596C52"/>
    <w:rsid w:val="00596EF3"/>
    <w:rsid w:val="005977B2"/>
    <w:rsid w:val="005A17C5"/>
    <w:rsid w:val="005A229C"/>
    <w:rsid w:val="005A2572"/>
    <w:rsid w:val="005A28F1"/>
    <w:rsid w:val="005A2C7E"/>
    <w:rsid w:val="005A45D4"/>
    <w:rsid w:val="005A7EAD"/>
    <w:rsid w:val="005B06A8"/>
    <w:rsid w:val="005B4A86"/>
    <w:rsid w:val="005B4FC3"/>
    <w:rsid w:val="005B5229"/>
    <w:rsid w:val="005B59E8"/>
    <w:rsid w:val="005B71DD"/>
    <w:rsid w:val="005B740B"/>
    <w:rsid w:val="005C0EBF"/>
    <w:rsid w:val="005C4C30"/>
    <w:rsid w:val="005C538C"/>
    <w:rsid w:val="005D3386"/>
    <w:rsid w:val="005D5F07"/>
    <w:rsid w:val="005D62DC"/>
    <w:rsid w:val="005D6635"/>
    <w:rsid w:val="005D66C5"/>
    <w:rsid w:val="005D7164"/>
    <w:rsid w:val="005D7A1A"/>
    <w:rsid w:val="005E06FD"/>
    <w:rsid w:val="005E2A35"/>
    <w:rsid w:val="005E3DE9"/>
    <w:rsid w:val="005E5B4B"/>
    <w:rsid w:val="005E68C0"/>
    <w:rsid w:val="005F0E0E"/>
    <w:rsid w:val="005F2CA5"/>
    <w:rsid w:val="005F427B"/>
    <w:rsid w:val="005F4EC6"/>
    <w:rsid w:val="005F5991"/>
    <w:rsid w:val="005F7A3D"/>
    <w:rsid w:val="00600F29"/>
    <w:rsid w:val="00601353"/>
    <w:rsid w:val="0060166D"/>
    <w:rsid w:val="00602728"/>
    <w:rsid w:val="00604DCB"/>
    <w:rsid w:val="00606477"/>
    <w:rsid w:val="00611740"/>
    <w:rsid w:val="006165B5"/>
    <w:rsid w:val="00616C01"/>
    <w:rsid w:val="00620CA4"/>
    <w:rsid w:val="00624400"/>
    <w:rsid w:val="0062645A"/>
    <w:rsid w:val="00632BC3"/>
    <w:rsid w:val="0063412F"/>
    <w:rsid w:val="00634506"/>
    <w:rsid w:val="0063471B"/>
    <w:rsid w:val="00635BBB"/>
    <w:rsid w:val="006367AD"/>
    <w:rsid w:val="0064056C"/>
    <w:rsid w:val="00640B15"/>
    <w:rsid w:val="00641CB8"/>
    <w:rsid w:val="0064395B"/>
    <w:rsid w:val="00645B72"/>
    <w:rsid w:val="006465EC"/>
    <w:rsid w:val="006506BC"/>
    <w:rsid w:val="00651CEC"/>
    <w:rsid w:val="006540AF"/>
    <w:rsid w:val="0065559C"/>
    <w:rsid w:val="0065653A"/>
    <w:rsid w:val="00656801"/>
    <w:rsid w:val="00656EFD"/>
    <w:rsid w:val="00661DC4"/>
    <w:rsid w:val="006632B2"/>
    <w:rsid w:val="006633EF"/>
    <w:rsid w:val="00663A7C"/>
    <w:rsid w:val="00666D0F"/>
    <w:rsid w:val="00667FCB"/>
    <w:rsid w:val="00670228"/>
    <w:rsid w:val="006710B5"/>
    <w:rsid w:val="00671EDB"/>
    <w:rsid w:val="006731D5"/>
    <w:rsid w:val="00673E9B"/>
    <w:rsid w:val="006740B0"/>
    <w:rsid w:val="00674574"/>
    <w:rsid w:val="00674F8F"/>
    <w:rsid w:val="00675CBA"/>
    <w:rsid w:val="006769BD"/>
    <w:rsid w:val="006803B8"/>
    <w:rsid w:val="00682ACF"/>
    <w:rsid w:val="0068360A"/>
    <w:rsid w:val="00683BF1"/>
    <w:rsid w:val="00684141"/>
    <w:rsid w:val="00685FA7"/>
    <w:rsid w:val="00686A78"/>
    <w:rsid w:val="00694BF2"/>
    <w:rsid w:val="00695C95"/>
    <w:rsid w:val="00696D00"/>
    <w:rsid w:val="00697DF2"/>
    <w:rsid w:val="006A3360"/>
    <w:rsid w:val="006A34E0"/>
    <w:rsid w:val="006A38B2"/>
    <w:rsid w:val="006A6D25"/>
    <w:rsid w:val="006B1C83"/>
    <w:rsid w:val="006B4035"/>
    <w:rsid w:val="006C1B5E"/>
    <w:rsid w:val="006C1FBD"/>
    <w:rsid w:val="006C3E53"/>
    <w:rsid w:val="006C56B3"/>
    <w:rsid w:val="006C73B6"/>
    <w:rsid w:val="006C76A2"/>
    <w:rsid w:val="006D21F1"/>
    <w:rsid w:val="006D6A10"/>
    <w:rsid w:val="006E0883"/>
    <w:rsid w:val="006E41E5"/>
    <w:rsid w:val="006E7815"/>
    <w:rsid w:val="006F0836"/>
    <w:rsid w:val="006F2A07"/>
    <w:rsid w:val="006F481B"/>
    <w:rsid w:val="006F48D9"/>
    <w:rsid w:val="006F6540"/>
    <w:rsid w:val="006F7045"/>
    <w:rsid w:val="00700589"/>
    <w:rsid w:val="0070281C"/>
    <w:rsid w:val="00702D3C"/>
    <w:rsid w:val="0070432A"/>
    <w:rsid w:val="00713D4E"/>
    <w:rsid w:val="0071562A"/>
    <w:rsid w:val="0071682A"/>
    <w:rsid w:val="00716FD1"/>
    <w:rsid w:val="00717FA3"/>
    <w:rsid w:val="00720A00"/>
    <w:rsid w:val="00720F93"/>
    <w:rsid w:val="00721496"/>
    <w:rsid w:val="00721689"/>
    <w:rsid w:val="00723509"/>
    <w:rsid w:val="00723D21"/>
    <w:rsid w:val="00724D64"/>
    <w:rsid w:val="007265DF"/>
    <w:rsid w:val="00731754"/>
    <w:rsid w:val="00732229"/>
    <w:rsid w:val="00732498"/>
    <w:rsid w:val="00732D8A"/>
    <w:rsid w:val="00733D92"/>
    <w:rsid w:val="007351FF"/>
    <w:rsid w:val="00735790"/>
    <w:rsid w:val="00735B24"/>
    <w:rsid w:val="00741726"/>
    <w:rsid w:val="0074317A"/>
    <w:rsid w:val="00744545"/>
    <w:rsid w:val="00744D90"/>
    <w:rsid w:val="00744DDE"/>
    <w:rsid w:val="0075022B"/>
    <w:rsid w:val="00751C97"/>
    <w:rsid w:val="00753279"/>
    <w:rsid w:val="00753C8C"/>
    <w:rsid w:val="00754862"/>
    <w:rsid w:val="00754A7A"/>
    <w:rsid w:val="00755854"/>
    <w:rsid w:val="00760115"/>
    <w:rsid w:val="0076011C"/>
    <w:rsid w:val="0076331C"/>
    <w:rsid w:val="00765CA4"/>
    <w:rsid w:val="00766A1C"/>
    <w:rsid w:val="00766C18"/>
    <w:rsid w:val="00766EF6"/>
    <w:rsid w:val="00770F56"/>
    <w:rsid w:val="00773F15"/>
    <w:rsid w:val="007770FB"/>
    <w:rsid w:val="00777A0D"/>
    <w:rsid w:val="00780769"/>
    <w:rsid w:val="007830E1"/>
    <w:rsid w:val="00783BBC"/>
    <w:rsid w:val="007841FD"/>
    <w:rsid w:val="007845C3"/>
    <w:rsid w:val="00790ADD"/>
    <w:rsid w:val="0079471C"/>
    <w:rsid w:val="007947CD"/>
    <w:rsid w:val="00796201"/>
    <w:rsid w:val="0079771E"/>
    <w:rsid w:val="007A3E74"/>
    <w:rsid w:val="007A4290"/>
    <w:rsid w:val="007A4A89"/>
    <w:rsid w:val="007A5E76"/>
    <w:rsid w:val="007B05B2"/>
    <w:rsid w:val="007B1BDE"/>
    <w:rsid w:val="007B230A"/>
    <w:rsid w:val="007B3114"/>
    <w:rsid w:val="007B3EDD"/>
    <w:rsid w:val="007B5A7A"/>
    <w:rsid w:val="007B7176"/>
    <w:rsid w:val="007B77DD"/>
    <w:rsid w:val="007C47A9"/>
    <w:rsid w:val="007C76D0"/>
    <w:rsid w:val="007C7AE1"/>
    <w:rsid w:val="007D0E9F"/>
    <w:rsid w:val="007D3C1F"/>
    <w:rsid w:val="007D6C1C"/>
    <w:rsid w:val="007D6D30"/>
    <w:rsid w:val="007E3E39"/>
    <w:rsid w:val="007F012C"/>
    <w:rsid w:val="007F1AE2"/>
    <w:rsid w:val="007F366D"/>
    <w:rsid w:val="007F3905"/>
    <w:rsid w:val="007F4BAB"/>
    <w:rsid w:val="007F5884"/>
    <w:rsid w:val="007F6001"/>
    <w:rsid w:val="007F6680"/>
    <w:rsid w:val="0080079A"/>
    <w:rsid w:val="00800DF7"/>
    <w:rsid w:val="00802A27"/>
    <w:rsid w:val="008034E4"/>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2AF1"/>
    <w:rsid w:val="00835D24"/>
    <w:rsid w:val="008365F5"/>
    <w:rsid w:val="00842FBF"/>
    <w:rsid w:val="00844228"/>
    <w:rsid w:val="008478DA"/>
    <w:rsid w:val="00850EF0"/>
    <w:rsid w:val="00851276"/>
    <w:rsid w:val="008526DE"/>
    <w:rsid w:val="00853F21"/>
    <w:rsid w:val="008540F0"/>
    <w:rsid w:val="0085463A"/>
    <w:rsid w:val="00855B9E"/>
    <w:rsid w:val="00855D9A"/>
    <w:rsid w:val="008616D5"/>
    <w:rsid w:val="00863427"/>
    <w:rsid w:val="008634A3"/>
    <w:rsid w:val="00863AF9"/>
    <w:rsid w:val="008645EF"/>
    <w:rsid w:val="00865372"/>
    <w:rsid w:val="00866A99"/>
    <w:rsid w:val="00867136"/>
    <w:rsid w:val="00867E89"/>
    <w:rsid w:val="0087247B"/>
    <w:rsid w:val="008737D7"/>
    <w:rsid w:val="00873E3D"/>
    <w:rsid w:val="008744CA"/>
    <w:rsid w:val="00874640"/>
    <w:rsid w:val="00874C5E"/>
    <w:rsid w:val="00874DE9"/>
    <w:rsid w:val="0087561D"/>
    <w:rsid w:val="008769DF"/>
    <w:rsid w:val="00876FF3"/>
    <w:rsid w:val="00877B11"/>
    <w:rsid w:val="00882E60"/>
    <w:rsid w:val="00882EEE"/>
    <w:rsid w:val="00883378"/>
    <w:rsid w:val="00884050"/>
    <w:rsid w:val="00887B94"/>
    <w:rsid w:val="008913F9"/>
    <w:rsid w:val="008913FE"/>
    <w:rsid w:val="00891727"/>
    <w:rsid w:val="00891ABD"/>
    <w:rsid w:val="00891E71"/>
    <w:rsid w:val="0089412A"/>
    <w:rsid w:val="00895E95"/>
    <w:rsid w:val="008978C5"/>
    <w:rsid w:val="008A043A"/>
    <w:rsid w:val="008A084B"/>
    <w:rsid w:val="008A09CE"/>
    <w:rsid w:val="008A33F0"/>
    <w:rsid w:val="008A3944"/>
    <w:rsid w:val="008A4AA4"/>
    <w:rsid w:val="008A5136"/>
    <w:rsid w:val="008A77FC"/>
    <w:rsid w:val="008B1D03"/>
    <w:rsid w:val="008B201D"/>
    <w:rsid w:val="008B243C"/>
    <w:rsid w:val="008B5322"/>
    <w:rsid w:val="008B56AE"/>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07086"/>
    <w:rsid w:val="00911600"/>
    <w:rsid w:val="0091160E"/>
    <w:rsid w:val="00911D8D"/>
    <w:rsid w:val="00913641"/>
    <w:rsid w:val="00913836"/>
    <w:rsid w:val="00914D86"/>
    <w:rsid w:val="0092000E"/>
    <w:rsid w:val="009210BA"/>
    <w:rsid w:val="00924960"/>
    <w:rsid w:val="009258CF"/>
    <w:rsid w:val="00925EB7"/>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1D81"/>
    <w:rsid w:val="0096289B"/>
    <w:rsid w:val="009636D3"/>
    <w:rsid w:val="00963E83"/>
    <w:rsid w:val="009651F4"/>
    <w:rsid w:val="009652C8"/>
    <w:rsid w:val="00965E89"/>
    <w:rsid w:val="00967090"/>
    <w:rsid w:val="00970F86"/>
    <w:rsid w:val="00972AE0"/>
    <w:rsid w:val="00972C0F"/>
    <w:rsid w:val="00972D2F"/>
    <w:rsid w:val="00973219"/>
    <w:rsid w:val="00973DCC"/>
    <w:rsid w:val="00974FBE"/>
    <w:rsid w:val="0097549F"/>
    <w:rsid w:val="00975C70"/>
    <w:rsid w:val="00980BCA"/>
    <w:rsid w:val="00982182"/>
    <w:rsid w:val="009864EC"/>
    <w:rsid w:val="009868FD"/>
    <w:rsid w:val="00987E16"/>
    <w:rsid w:val="009933C0"/>
    <w:rsid w:val="00993AC0"/>
    <w:rsid w:val="00994854"/>
    <w:rsid w:val="009960C2"/>
    <w:rsid w:val="009961AC"/>
    <w:rsid w:val="009962F5"/>
    <w:rsid w:val="009A0A5E"/>
    <w:rsid w:val="009A3B8F"/>
    <w:rsid w:val="009A4169"/>
    <w:rsid w:val="009A6687"/>
    <w:rsid w:val="009A6996"/>
    <w:rsid w:val="009A7ABD"/>
    <w:rsid w:val="009A7D01"/>
    <w:rsid w:val="009B016F"/>
    <w:rsid w:val="009B3B93"/>
    <w:rsid w:val="009C0025"/>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E7218"/>
    <w:rsid w:val="009F0890"/>
    <w:rsid w:val="009F0E18"/>
    <w:rsid w:val="009F182E"/>
    <w:rsid w:val="009F1CD9"/>
    <w:rsid w:val="009F43F4"/>
    <w:rsid w:val="009F7524"/>
    <w:rsid w:val="00A00465"/>
    <w:rsid w:val="00A02257"/>
    <w:rsid w:val="00A02297"/>
    <w:rsid w:val="00A03790"/>
    <w:rsid w:val="00A057BA"/>
    <w:rsid w:val="00A0630F"/>
    <w:rsid w:val="00A06383"/>
    <w:rsid w:val="00A063C8"/>
    <w:rsid w:val="00A0765C"/>
    <w:rsid w:val="00A120AB"/>
    <w:rsid w:val="00A14552"/>
    <w:rsid w:val="00A15CDB"/>
    <w:rsid w:val="00A24571"/>
    <w:rsid w:val="00A266ED"/>
    <w:rsid w:val="00A27A14"/>
    <w:rsid w:val="00A34E17"/>
    <w:rsid w:val="00A35AA5"/>
    <w:rsid w:val="00A362D2"/>
    <w:rsid w:val="00A37020"/>
    <w:rsid w:val="00A37C23"/>
    <w:rsid w:val="00A40691"/>
    <w:rsid w:val="00A43CE0"/>
    <w:rsid w:val="00A4526C"/>
    <w:rsid w:val="00A45F50"/>
    <w:rsid w:val="00A460A0"/>
    <w:rsid w:val="00A51871"/>
    <w:rsid w:val="00A51ECE"/>
    <w:rsid w:val="00A522D3"/>
    <w:rsid w:val="00A525E0"/>
    <w:rsid w:val="00A527FC"/>
    <w:rsid w:val="00A54A64"/>
    <w:rsid w:val="00A55204"/>
    <w:rsid w:val="00A61074"/>
    <w:rsid w:val="00A61EA7"/>
    <w:rsid w:val="00A64134"/>
    <w:rsid w:val="00A6603C"/>
    <w:rsid w:val="00A66EE7"/>
    <w:rsid w:val="00A67BC8"/>
    <w:rsid w:val="00A70A5D"/>
    <w:rsid w:val="00A71CEF"/>
    <w:rsid w:val="00A74299"/>
    <w:rsid w:val="00A755A5"/>
    <w:rsid w:val="00A7563F"/>
    <w:rsid w:val="00A756A7"/>
    <w:rsid w:val="00A76532"/>
    <w:rsid w:val="00A76845"/>
    <w:rsid w:val="00A76BF2"/>
    <w:rsid w:val="00A77C45"/>
    <w:rsid w:val="00A80EA2"/>
    <w:rsid w:val="00A8245E"/>
    <w:rsid w:val="00A82599"/>
    <w:rsid w:val="00A82CC7"/>
    <w:rsid w:val="00A83DB8"/>
    <w:rsid w:val="00A83DEC"/>
    <w:rsid w:val="00A84761"/>
    <w:rsid w:val="00A85561"/>
    <w:rsid w:val="00A85ACD"/>
    <w:rsid w:val="00A86EA3"/>
    <w:rsid w:val="00A870F6"/>
    <w:rsid w:val="00A90156"/>
    <w:rsid w:val="00A90CA6"/>
    <w:rsid w:val="00A90F97"/>
    <w:rsid w:val="00A91E70"/>
    <w:rsid w:val="00A93EB9"/>
    <w:rsid w:val="00A96277"/>
    <w:rsid w:val="00AA00CD"/>
    <w:rsid w:val="00AA05B6"/>
    <w:rsid w:val="00AA3A8F"/>
    <w:rsid w:val="00AA65F1"/>
    <w:rsid w:val="00AB0161"/>
    <w:rsid w:val="00AB096C"/>
    <w:rsid w:val="00AB0B56"/>
    <w:rsid w:val="00AB5DEE"/>
    <w:rsid w:val="00AB767C"/>
    <w:rsid w:val="00AC273D"/>
    <w:rsid w:val="00AC3EE2"/>
    <w:rsid w:val="00AC56BF"/>
    <w:rsid w:val="00AC56D6"/>
    <w:rsid w:val="00AC5A69"/>
    <w:rsid w:val="00AC7D9E"/>
    <w:rsid w:val="00AD0875"/>
    <w:rsid w:val="00AD0D75"/>
    <w:rsid w:val="00AD4152"/>
    <w:rsid w:val="00AD5945"/>
    <w:rsid w:val="00AE10EC"/>
    <w:rsid w:val="00AE2222"/>
    <w:rsid w:val="00AE4E38"/>
    <w:rsid w:val="00AE75EA"/>
    <w:rsid w:val="00AE7EC2"/>
    <w:rsid w:val="00AF0507"/>
    <w:rsid w:val="00AF2479"/>
    <w:rsid w:val="00AF4777"/>
    <w:rsid w:val="00AF6C3D"/>
    <w:rsid w:val="00AF6C63"/>
    <w:rsid w:val="00B018AB"/>
    <w:rsid w:val="00B0402F"/>
    <w:rsid w:val="00B04165"/>
    <w:rsid w:val="00B04E23"/>
    <w:rsid w:val="00B0696D"/>
    <w:rsid w:val="00B0703F"/>
    <w:rsid w:val="00B07555"/>
    <w:rsid w:val="00B13D41"/>
    <w:rsid w:val="00B1410C"/>
    <w:rsid w:val="00B16580"/>
    <w:rsid w:val="00B2131F"/>
    <w:rsid w:val="00B223FE"/>
    <w:rsid w:val="00B229B3"/>
    <w:rsid w:val="00B23D5F"/>
    <w:rsid w:val="00B24067"/>
    <w:rsid w:val="00B2603F"/>
    <w:rsid w:val="00B279BF"/>
    <w:rsid w:val="00B338E8"/>
    <w:rsid w:val="00B3444D"/>
    <w:rsid w:val="00B35D7C"/>
    <w:rsid w:val="00B3664D"/>
    <w:rsid w:val="00B36ADB"/>
    <w:rsid w:val="00B37EC4"/>
    <w:rsid w:val="00B40DC6"/>
    <w:rsid w:val="00B40ED0"/>
    <w:rsid w:val="00B40F02"/>
    <w:rsid w:val="00B41D0D"/>
    <w:rsid w:val="00B43C9C"/>
    <w:rsid w:val="00B44FA0"/>
    <w:rsid w:val="00B46439"/>
    <w:rsid w:val="00B47F1B"/>
    <w:rsid w:val="00B50ED5"/>
    <w:rsid w:val="00B517C3"/>
    <w:rsid w:val="00B520FC"/>
    <w:rsid w:val="00B5348D"/>
    <w:rsid w:val="00B545C7"/>
    <w:rsid w:val="00B547F2"/>
    <w:rsid w:val="00B55534"/>
    <w:rsid w:val="00B55B6C"/>
    <w:rsid w:val="00B56682"/>
    <w:rsid w:val="00B6308A"/>
    <w:rsid w:val="00B6379C"/>
    <w:rsid w:val="00B65238"/>
    <w:rsid w:val="00B652C7"/>
    <w:rsid w:val="00B65548"/>
    <w:rsid w:val="00B67CEE"/>
    <w:rsid w:val="00B72341"/>
    <w:rsid w:val="00B7538A"/>
    <w:rsid w:val="00B75918"/>
    <w:rsid w:val="00B80BAB"/>
    <w:rsid w:val="00B81651"/>
    <w:rsid w:val="00B81F30"/>
    <w:rsid w:val="00B8292D"/>
    <w:rsid w:val="00B838E0"/>
    <w:rsid w:val="00B905D2"/>
    <w:rsid w:val="00B91FB1"/>
    <w:rsid w:val="00B92BA2"/>
    <w:rsid w:val="00B92D96"/>
    <w:rsid w:val="00B93AF5"/>
    <w:rsid w:val="00B970B2"/>
    <w:rsid w:val="00BA0516"/>
    <w:rsid w:val="00BA2EC7"/>
    <w:rsid w:val="00BA2FCB"/>
    <w:rsid w:val="00BA36ED"/>
    <w:rsid w:val="00BA3815"/>
    <w:rsid w:val="00BA5174"/>
    <w:rsid w:val="00BA6905"/>
    <w:rsid w:val="00BB6A0E"/>
    <w:rsid w:val="00BC2375"/>
    <w:rsid w:val="00BC3F78"/>
    <w:rsid w:val="00BC4188"/>
    <w:rsid w:val="00BC543C"/>
    <w:rsid w:val="00BC78A9"/>
    <w:rsid w:val="00BD054F"/>
    <w:rsid w:val="00BD0DF2"/>
    <w:rsid w:val="00BD1219"/>
    <w:rsid w:val="00BD4313"/>
    <w:rsid w:val="00BD7587"/>
    <w:rsid w:val="00BD79F4"/>
    <w:rsid w:val="00BE57E8"/>
    <w:rsid w:val="00BF0A1B"/>
    <w:rsid w:val="00BF38D6"/>
    <w:rsid w:val="00BF3DFD"/>
    <w:rsid w:val="00BF4984"/>
    <w:rsid w:val="00BF5AC8"/>
    <w:rsid w:val="00BF7984"/>
    <w:rsid w:val="00C002B4"/>
    <w:rsid w:val="00C01FA7"/>
    <w:rsid w:val="00C026B0"/>
    <w:rsid w:val="00C041AA"/>
    <w:rsid w:val="00C041AE"/>
    <w:rsid w:val="00C04A88"/>
    <w:rsid w:val="00C0626A"/>
    <w:rsid w:val="00C07262"/>
    <w:rsid w:val="00C07EBD"/>
    <w:rsid w:val="00C132EB"/>
    <w:rsid w:val="00C138D1"/>
    <w:rsid w:val="00C13977"/>
    <w:rsid w:val="00C14928"/>
    <w:rsid w:val="00C15DAD"/>
    <w:rsid w:val="00C15E96"/>
    <w:rsid w:val="00C17097"/>
    <w:rsid w:val="00C223B9"/>
    <w:rsid w:val="00C22BDB"/>
    <w:rsid w:val="00C22C71"/>
    <w:rsid w:val="00C22FA8"/>
    <w:rsid w:val="00C23420"/>
    <w:rsid w:val="00C24A20"/>
    <w:rsid w:val="00C2538B"/>
    <w:rsid w:val="00C267D4"/>
    <w:rsid w:val="00C272EE"/>
    <w:rsid w:val="00C34914"/>
    <w:rsid w:val="00C362C0"/>
    <w:rsid w:val="00C365B8"/>
    <w:rsid w:val="00C443BB"/>
    <w:rsid w:val="00C45998"/>
    <w:rsid w:val="00C45AEA"/>
    <w:rsid w:val="00C47ADE"/>
    <w:rsid w:val="00C47C19"/>
    <w:rsid w:val="00C47CBA"/>
    <w:rsid w:val="00C47F9B"/>
    <w:rsid w:val="00C51A0A"/>
    <w:rsid w:val="00C550B9"/>
    <w:rsid w:val="00C5547A"/>
    <w:rsid w:val="00C5778D"/>
    <w:rsid w:val="00C57959"/>
    <w:rsid w:val="00C61154"/>
    <w:rsid w:val="00C64392"/>
    <w:rsid w:val="00C64BAF"/>
    <w:rsid w:val="00C653F3"/>
    <w:rsid w:val="00C67638"/>
    <w:rsid w:val="00C677C0"/>
    <w:rsid w:val="00C71ECA"/>
    <w:rsid w:val="00C728C5"/>
    <w:rsid w:val="00C75830"/>
    <w:rsid w:val="00C76E4D"/>
    <w:rsid w:val="00C774D1"/>
    <w:rsid w:val="00C801E1"/>
    <w:rsid w:val="00C80AB8"/>
    <w:rsid w:val="00C81B81"/>
    <w:rsid w:val="00C84019"/>
    <w:rsid w:val="00C85E57"/>
    <w:rsid w:val="00C85EB2"/>
    <w:rsid w:val="00C863B6"/>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4A3E"/>
    <w:rsid w:val="00CB61A0"/>
    <w:rsid w:val="00CB75E5"/>
    <w:rsid w:val="00CC2CD9"/>
    <w:rsid w:val="00CC2CE8"/>
    <w:rsid w:val="00CC3FC4"/>
    <w:rsid w:val="00CC47BF"/>
    <w:rsid w:val="00CC5817"/>
    <w:rsid w:val="00CC7C17"/>
    <w:rsid w:val="00CD3717"/>
    <w:rsid w:val="00CD5CA8"/>
    <w:rsid w:val="00CD6BA6"/>
    <w:rsid w:val="00CE17D7"/>
    <w:rsid w:val="00CE4061"/>
    <w:rsid w:val="00CE5B1D"/>
    <w:rsid w:val="00CF008C"/>
    <w:rsid w:val="00CF0299"/>
    <w:rsid w:val="00CF15AA"/>
    <w:rsid w:val="00CF19C6"/>
    <w:rsid w:val="00CF4997"/>
    <w:rsid w:val="00D009F6"/>
    <w:rsid w:val="00D01DB5"/>
    <w:rsid w:val="00D01DE9"/>
    <w:rsid w:val="00D03021"/>
    <w:rsid w:val="00D04A7A"/>
    <w:rsid w:val="00D0543A"/>
    <w:rsid w:val="00D059C6"/>
    <w:rsid w:val="00D05B7B"/>
    <w:rsid w:val="00D07E6C"/>
    <w:rsid w:val="00D117E7"/>
    <w:rsid w:val="00D11D8C"/>
    <w:rsid w:val="00D145C0"/>
    <w:rsid w:val="00D201B3"/>
    <w:rsid w:val="00D248B7"/>
    <w:rsid w:val="00D24E35"/>
    <w:rsid w:val="00D2560A"/>
    <w:rsid w:val="00D25C96"/>
    <w:rsid w:val="00D26B31"/>
    <w:rsid w:val="00D26F7A"/>
    <w:rsid w:val="00D2725D"/>
    <w:rsid w:val="00D30028"/>
    <w:rsid w:val="00D31E55"/>
    <w:rsid w:val="00D31F7B"/>
    <w:rsid w:val="00D336FE"/>
    <w:rsid w:val="00D34DFE"/>
    <w:rsid w:val="00D35E99"/>
    <w:rsid w:val="00D36217"/>
    <w:rsid w:val="00D36218"/>
    <w:rsid w:val="00D37CC3"/>
    <w:rsid w:val="00D41B3C"/>
    <w:rsid w:val="00D45EC6"/>
    <w:rsid w:val="00D475C9"/>
    <w:rsid w:val="00D50088"/>
    <w:rsid w:val="00D57BD0"/>
    <w:rsid w:val="00D60597"/>
    <w:rsid w:val="00D6122E"/>
    <w:rsid w:val="00D6282F"/>
    <w:rsid w:val="00D64474"/>
    <w:rsid w:val="00D64638"/>
    <w:rsid w:val="00D64C06"/>
    <w:rsid w:val="00D64DCD"/>
    <w:rsid w:val="00D66802"/>
    <w:rsid w:val="00D67A8B"/>
    <w:rsid w:val="00D746C8"/>
    <w:rsid w:val="00D74850"/>
    <w:rsid w:val="00D77D7D"/>
    <w:rsid w:val="00D77F1C"/>
    <w:rsid w:val="00D8231D"/>
    <w:rsid w:val="00D83555"/>
    <w:rsid w:val="00D8565B"/>
    <w:rsid w:val="00D87288"/>
    <w:rsid w:val="00D903AB"/>
    <w:rsid w:val="00D904C8"/>
    <w:rsid w:val="00D91CF2"/>
    <w:rsid w:val="00D9203A"/>
    <w:rsid w:val="00D9376A"/>
    <w:rsid w:val="00D94CD9"/>
    <w:rsid w:val="00D95C64"/>
    <w:rsid w:val="00D96261"/>
    <w:rsid w:val="00DA0A2D"/>
    <w:rsid w:val="00DA0A53"/>
    <w:rsid w:val="00DA27C4"/>
    <w:rsid w:val="00DA3502"/>
    <w:rsid w:val="00DA457E"/>
    <w:rsid w:val="00DA4E8E"/>
    <w:rsid w:val="00DA5E9C"/>
    <w:rsid w:val="00DA65BD"/>
    <w:rsid w:val="00DA6BE6"/>
    <w:rsid w:val="00DB0F65"/>
    <w:rsid w:val="00DB14CE"/>
    <w:rsid w:val="00DB4946"/>
    <w:rsid w:val="00DB720A"/>
    <w:rsid w:val="00DC006B"/>
    <w:rsid w:val="00DC18CB"/>
    <w:rsid w:val="00DC338F"/>
    <w:rsid w:val="00DC3A8C"/>
    <w:rsid w:val="00DC400E"/>
    <w:rsid w:val="00DC4999"/>
    <w:rsid w:val="00DD0F46"/>
    <w:rsid w:val="00DD1135"/>
    <w:rsid w:val="00DD1535"/>
    <w:rsid w:val="00DD15D6"/>
    <w:rsid w:val="00DD3989"/>
    <w:rsid w:val="00DD61DC"/>
    <w:rsid w:val="00DD68FC"/>
    <w:rsid w:val="00DE0C9E"/>
    <w:rsid w:val="00DE1E21"/>
    <w:rsid w:val="00DE2123"/>
    <w:rsid w:val="00DE405D"/>
    <w:rsid w:val="00DE54F9"/>
    <w:rsid w:val="00DE6645"/>
    <w:rsid w:val="00DE6AF8"/>
    <w:rsid w:val="00DE7835"/>
    <w:rsid w:val="00DF3DC9"/>
    <w:rsid w:val="00DF3F93"/>
    <w:rsid w:val="00DF42A4"/>
    <w:rsid w:val="00DF59CB"/>
    <w:rsid w:val="00E04F5B"/>
    <w:rsid w:val="00E058FB"/>
    <w:rsid w:val="00E0672D"/>
    <w:rsid w:val="00E0750F"/>
    <w:rsid w:val="00E10BFC"/>
    <w:rsid w:val="00E12DDA"/>
    <w:rsid w:val="00E135C5"/>
    <w:rsid w:val="00E158C8"/>
    <w:rsid w:val="00E21129"/>
    <w:rsid w:val="00E22488"/>
    <w:rsid w:val="00E23CBB"/>
    <w:rsid w:val="00E23F6C"/>
    <w:rsid w:val="00E2410D"/>
    <w:rsid w:val="00E24161"/>
    <w:rsid w:val="00E25BBE"/>
    <w:rsid w:val="00E2699A"/>
    <w:rsid w:val="00E30E47"/>
    <w:rsid w:val="00E30F38"/>
    <w:rsid w:val="00E315F8"/>
    <w:rsid w:val="00E31B30"/>
    <w:rsid w:val="00E31CD3"/>
    <w:rsid w:val="00E334D8"/>
    <w:rsid w:val="00E34378"/>
    <w:rsid w:val="00E36116"/>
    <w:rsid w:val="00E37F8A"/>
    <w:rsid w:val="00E4111F"/>
    <w:rsid w:val="00E42376"/>
    <w:rsid w:val="00E4329E"/>
    <w:rsid w:val="00E43C5B"/>
    <w:rsid w:val="00E47992"/>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6FDC"/>
    <w:rsid w:val="00E87403"/>
    <w:rsid w:val="00E877C1"/>
    <w:rsid w:val="00E87940"/>
    <w:rsid w:val="00E87CAB"/>
    <w:rsid w:val="00E903AC"/>
    <w:rsid w:val="00E91D2A"/>
    <w:rsid w:val="00E965DF"/>
    <w:rsid w:val="00E97B2E"/>
    <w:rsid w:val="00E97E4E"/>
    <w:rsid w:val="00EA0BC5"/>
    <w:rsid w:val="00EA101B"/>
    <w:rsid w:val="00EA2ACF"/>
    <w:rsid w:val="00EA2DF3"/>
    <w:rsid w:val="00EA5D0F"/>
    <w:rsid w:val="00EA68D4"/>
    <w:rsid w:val="00EB277F"/>
    <w:rsid w:val="00EB3464"/>
    <w:rsid w:val="00EB431F"/>
    <w:rsid w:val="00EB64B8"/>
    <w:rsid w:val="00EB76CB"/>
    <w:rsid w:val="00EB7F9D"/>
    <w:rsid w:val="00EC20DC"/>
    <w:rsid w:val="00EC237B"/>
    <w:rsid w:val="00EC45B7"/>
    <w:rsid w:val="00EC50F8"/>
    <w:rsid w:val="00EC6D17"/>
    <w:rsid w:val="00EC6E64"/>
    <w:rsid w:val="00ED00C2"/>
    <w:rsid w:val="00ED118C"/>
    <w:rsid w:val="00ED368F"/>
    <w:rsid w:val="00ED472C"/>
    <w:rsid w:val="00ED649D"/>
    <w:rsid w:val="00EE0C9A"/>
    <w:rsid w:val="00EE35DA"/>
    <w:rsid w:val="00EE4903"/>
    <w:rsid w:val="00EE67B9"/>
    <w:rsid w:val="00EE75EC"/>
    <w:rsid w:val="00EF0141"/>
    <w:rsid w:val="00EF0BF3"/>
    <w:rsid w:val="00EF21AB"/>
    <w:rsid w:val="00EF4821"/>
    <w:rsid w:val="00EF5BA6"/>
    <w:rsid w:val="00EF6A76"/>
    <w:rsid w:val="00F035CC"/>
    <w:rsid w:val="00F06811"/>
    <w:rsid w:val="00F06934"/>
    <w:rsid w:val="00F1031C"/>
    <w:rsid w:val="00F11AD1"/>
    <w:rsid w:val="00F12900"/>
    <w:rsid w:val="00F12E9D"/>
    <w:rsid w:val="00F14399"/>
    <w:rsid w:val="00F14555"/>
    <w:rsid w:val="00F14DF4"/>
    <w:rsid w:val="00F1584F"/>
    <w:rsid w:val="00F15E5E"/>
    <w:rsid w:val="00F16E2D"/>
    <w:rsid w:val="00F20050"/>
    <w:rsid w:val="00F2024E"/>
    <w:rsid w:val="00F24757"/>
    <w:rsid w:val="00F2621E"/>
    <w:rsid w:val="00F26622"/>
    <w:rsid w:val="00F26A4D"/>
    <w:rsid w:val="00F26F92"/>
    <w:rsid w:val="00F2758C"/>
    <w:rsid w:val="00F310FD"/>
    <w:rsid w:val="00F34477"/>
    <w:rsid w:val="00F34781"/>
    <w:rsid w:val="00F34B25"/>
    <w:rsid w:val="00F359FF"/>
    <w:rsid w:val="00F37DDA"/>
    <w:rsid w:val="00F410B1"/>
    <w:rsid w:val="00F4142A"/>
    <w:rsid w:val="00F41DAE"/>
    <w:rsid w:val="00F41DC7"/>
    <w:rsid w:val="00F4354F"/>
    <w:rsid w:val="00F444BA"/>
    <w:rsid w:val="00F4708C"/>
    <w:rsid w:val="00F47559"/>
    <w:rsid w:val="00F50913"/>
    <w:rsid w:val="00F53A24"/>
    <w:rsid w:val="00F548BF"/>
    <w:rsid w:val="00F555D8"/>
    <w:rsid w:val="00F617C7"/>
    <w:rsid w:val="00F625E3"/>
    <w:rsid w:val="00F6344D"/>
    <w:rsid w:val="00F63E26"/>
    <w:rsid w:val="00F66266"/>
    <w:rsid w:val="00F66D56"/>
    <w:rsid w:val="00F67852"/>
    <w:rsid w:val="00F70F01"/>
    <w:rsid w:val="00F715E2"/>
    <w:rsid w:val="00F7268E"/>
    <w:rsid w:val="00F72BA5"/>
    <w:rsid w:val="00F74562"/>
    <w:rsid w:val="00F749A4"/>
    <w:rsid w:val="00F74BFF"/>
    <w:rsid w:val="00F75EF9"/>
    <w:rsid w:val="00F8044F"/>
    <w:rsid w:val="00F80E67"/>
    <w:rsid w:val="00F81431"/>
    <w:rsid w:val="00F82237"/>
    <w:rsid w:val="00F83022"/>
    <w:rsid w:val="00F83A7A"/>
    <w:rsid w:val="00F84AE8"/>
    <w:rsid w:val="00F84D18"/>
    <w:rsid w:val="00F8592D"/>
    <w:rsid w:val="00F92668"/>
    <w:rsid w:val="00F92CF8"/>
    <w:rsid w:val="00F943D7"/>
    <w:rsid w:val="00F9774A"/>
    <w:rsid w:val="00FA1399"/>
    <w:rsid w:val="00FA190D"/>
    <w:rsid w:val="00FA3A77"/>
    <w:rsid w:val="00FA7304"/>
    <w:rsid w:val="00FB0070"/>
    <w:rsid w:val="00FB048D"/>
    <w:rsid w:val="00FB1347"/>
    <w:rsid w:val="00FB27B0"/>
    <w:rsid w:val="00FB7237"/>
    <w:rsid w:val="00FC184C"/>
    <w:rsid w:val="00FC1BDC"/>
    <w:rsid w:val="00FC1D6A"/>
    <w:rsid w:val="00FC2FCD"/>
    <w:rsid w:val="00FC3181"/>
    <w:rsid w:val="00FC41C4"/>
    <w:rsid w:val="00FC64E7"/>
    <w:rsid w:val="00FD338A"/>
    <w:rsid w:val="00FD3BD2"/>
    <w:rsid w:val="00FE270A"/>
    <w:rsid w:val="00FE3F43"/>
    <w:rsid w:val="00FE5C48"/>
    <w:rsid w:val="00FE6656"/>
    <w:rsid w:val="00FF191E"/>
    <w:rsid w:val="00FF1C52"/>
    <w:rsid w:val="00FF3084"/>
    <w:rsid w:val="00FF54EA"/>
    <w:rsid w:val="0211EB5F"/>
    <w:rsid w:val="05A4CE50"/>
    <w:rsid w:val="0A02C7B2"/>
    <w:rsid w:val="11BC18A1"/>
    <w:rsid w:val="17FAD2B5"/>
    <w:rsid w:val="18DBD75E"/>
    <w:rsid w:val="1AA3BE1A"/>
    <w:rsid w:val="1CC797D6"/>
    <w:rsid w:val="2343A4D9"/>
    <w:rsid w:val="26B61EBA"/>
    <w:rsid w:val="27CD0E88"/>
    <w:rsid w:val="27DF3724"/>
    <w:rsid w:val="2DBF6FD8"/>
    <w:rsid w:val="317A9551"/>
    <w:rsid w:val="36E0FA8A"/>
    <w:rsid w:val="38B3A7D4"/>
    <w:rsid w:val="3C1B6755"/>
    <w:rsid w:val="402A78AD"/>
    <w:rsid w:val="41101985"/>
    <w:rsid w:val="414F4A4E"/>
    <w:rsid w:val="4306A81A"/>
    <w:rsid w:val="470A6C75"/>
    <w:rsid w:val="47CBFB8C"/>
    <w:rsid w:val="47EDF5AB"/>
    <w:rsid w:val="48F89CAE"/>
    <w:rsid w:val="4A940149"/>
    <w:rsid w:val="4AE1ABA9"/>
    <w:rsid w:val="4B9A8AD5"/>
    <w:rsid w:val="4F2A2E7B"/>
    <w:rsid w:val="53288197"/>
    <w:rsid w:val="546ACD1E"/>
    <w:rsid w:val="570FD5C4"/>
    <w:rsid w:val="582B6B9D"/>
    <w:rsid w:val="5A6A6C11"/>
    <w:rsid w:val="5B029A9E"/>
    <w:rsid w:val="604656C7"/>
    <w:rsid w:val="685EC7EE"/>
    <w:rsid w:val="68A057BB"/>
    <w:rsid w:val="6C07BB14"/>
    <w:rsid w:val="6D806BA8"/>
    <w:rsid w:val="6EF4124C"/>
    <w:rsid w:val="72AAA9E5"/>
    <w:rsid w:val="77339059"/>
    <w:rsid w:val="78320502"/>
    <w:rsid w:val="7BDED2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8A973"/>
  <w15:docId w15:val="{ED74B442-347F-4188-B4F0-4D58D7FC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aliases w:val="standard lewis,List 1 Paragraph,Orange Bullets,Bullets,Recommendation,List Paragraph1,Bulleted Para,NFP GP Bulleted List,bullet point list,CDHP List Paragraph,dot point 1,List Paragraph11,List Paragraph111,L,F5 List Paragraph,Dot pt,CV te"/>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aliases w:val="standard lewis Char,List 1 Paragraph Char,Orange Bullets Char,Bullets Char,Recommendation Char,List Paragraph1 Char,Bulleted Para Char,NFP GP Bulleted List Char,bullet point list Char,CDHP List Paragraph Char,dot point 1 Char,L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paragraph" w:customStyle="1" w:styleId="paragraph">
    <w:name w:val="paragraph"/>
    <w:basedOn w:val="Normal"/>
    <w:rsid w:val="002A6833"/>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2A6833"/>
  </w:style>
  <w:style w:type="character" w:customStyle="1" w:styleId="eop">
    <w:name w:val="eop"/>
    <w:basedOn w:val="DefaultParagraphFont"/>
    <w:rsid w:val="002A6833"/>
  </w:style>
  <w:style w:type="character" w:styleId="UnresolvedMention">
    <w:name w:val="Unresolved Mention"/>
    <w:basedOn w:val="DefaultParagraphFont"/>
    <w:uiPriority w:val="99"/>
    <w:semiHidden/>
    <w:unhideWhenUsed/>
    <w:rsid w:val="00C80AB8"/>
    <w:rPr>
      <w:color w:val="605E5C"/>
      <w:shd w:val="clear" w:color="auto" w:fill="E1DFDD"/>
    </w:rPr>
  </w:style>
  <w:style w:type="paragraph" w:styleId="Revision">
    <w:name w:val="Revision"/>
    <w:hidden/>
    <w:uiPriority w:val="99"/>
    <w:semiHidden/>
    <w:rsid w:val="00961D81"/>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597">
      <w:bodyDiv w:val="1"/>
      <w:marLeft w:val="0"/>
      <w:marRight w:val="0"/>
      <w:marTop w:val="0"/>
      <w:marBottom w:val="0"/>
      <w:divBdr>
        <w:top w:val="none" w:sz="0" w:space="0" w:color="auto"/>
        <w:left w:val="none" w:sz="0" w:space="0" w:color="auto"/>
        <w:bottom w:val="none" w:sz="0" w:space="0" w:color="auto"/>
        <w:right w:val="none" w:sz="0" w:space="0" w:color="auto"/>
      </w:divBdr>
    </w:div>
    <w:div w:id="22942665">
      <w:bodyDiv w:val="1"/>
      <w:marLeft w:val="0"/>
      <w:marRight w:val="0"/>
      <w:marTop w:val="0"/>
      <w:marBottom w:val="0"/>
      <w:divBdr>
        <w:top w:val="none" w:sz="0" w:space="0" w:color="auto"/>
        <w:left w:val="none" w:sz="0" w:space="0" w:color="auto"/>
        <w:bottom w:val="none" w:sz="0" w:space="0" w:color="auto"/>
        <w:right w:val="none" w:sz="0" w:space="0" w:color="auto"/>
      </w:divBdr>
    </w:div>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16618688">
      <w:bodyDiv w:val="1"/>
      <w:marLeft w:val="0"/>
      <w:marRight w:val="0"/>
      <w:marTop w:val="0"/>
      <w:marBottom w:val="0"/>
      <w:divBdr>
        <w:top w:val="none" w:sz="0" w:space="0" w:color="auto"/>
        <w:left w:val="none" w:sz="0" w:space="0" w:color="auto"/>
        <w:bottom w:val="none" w:sz="0" w:space="0" w:color="auto"/>
        <w:right w:val="none" w:sz="0" w:space="0" w:color="auto"/>
      </w:divBdr>
    </w:div>
    <w:div w:id="331109977">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424159046">
      <w:bodyDiv w:val="1"/>
      <w:marLeft w:val="0"/>
      <w:marRight w:val="0"/>
      <w:marTop w:val="0"/>
      <w:marBottom w:val="0"/>
      <w:divBdr>
        <w:top w:val="none" w:sz="0" w:space="0" w:color="auto"/>
        <w:left w:val="none" w:sz="0" w:space="0" w:color="auto"/>
        <w:bottom w:val="none" w:sz="0" w:space="0" w:color="auto"/>
        <w:right w:val="none" w:sz="0" w:space="0" w:color="auto"/>
      </w:divBdr>
    </w:div>
    <w:div w:id="504130968">
      <w:bodyDiv w:val="1"/>
      <w:marLeft w:val="0"/>
      <w:marRight w:val="0"/>
      <w:marTop w:val="0"/>
      <w:marBottom w:val="0"/>
      <w:divBdr>
        <w:top w:val="none" w:sz="0" w:space="0" w:color="auto"/>
        <w:left w:val="none" w:sz="0" w:space="0" w:color="auto"/>
        <w:bottom w:val="none" w:sz="0" w:space="0" w:color="auto"/>
        <w:right w:val="none" w:sz="0" w:space="0" w:color="auto"/>
      </w:divBdr>
    </w:div>
    <w:div w:id="561334911">
      <w:bodyDiv w:val="1"/>
      <w:marLeft w:val="0"/>
      <w:marRight w:val="0"/>
      <w:marTop w:val="0"/>
      <w:marBottom w:val="0"/>
      <w:divBdr>
        <w:top w:val="none" w:sz="0" w:space="0" w:color="auto"/>
        <w:left w:val="none" w:sz="0" w:space="0" w:color="auto"/>
        <w:bottom w:val="none" w:sz="0" w:space="0" w:color="auto"/>
        <w:right w:val="none" w:sz="0" w:space="0" w:color="auto"/>
      </w:divBdr>
    </w:div>
    <w:div w:id="573587925">
      <w:bodyDiv w:val="1"/>
      <w:marLeft w:val="0"/>
      <w:marRight w:val="0"/>
      <w:marTop w:val="0"/>
      <w:marBottom w:val="0"/>
      <w:divBdr>
        <w:top w:val="none" w:sz="0" w:space="0" w:color="auto"/>
        <w:left w:val="none" w:sz="0" w:space="0" w:color="auto"/>
        <w:bottom w:val="none" w:sz="0" w:space="0" w:color="auto"/>
        <w:right w:val="none" w:sz="0" w:space="0" w:color="auto"/>
      </w:divBdr>
    </w:div>
    <w:div w:id="635526986">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35401657">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899755754">
      <w:bodyDiv w:val="1"/>
      <w:marLeft w:val="0"/>
      <w:marRight w:val="0"/>
      <w:marTop w:val="0"/>
      <w:marBottom w:val="0"/>
      <w:divBdr>
        <w:top w:val="none" w:sz="0" w:space="0" w:color="auto"/>
        <w:left w:val="none" w:sz="0" w:space="0" w:color="auto"/>
        <w:bottom w:val="none" w:sz="0" w:space="0" w:color="auto"/>
        <w:right w:val="none" w:sz="0" w:space="0" w:color="auto"/>
      </w:divBdr>
    </w:div>
    <w:div w:id="90873020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03309545">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273632515">
      <w:bodyDiv w:val="1"/>
      <w:marLeft w:val="0"/>
      <w:marRight w:val="0"/>
      <w:marTop w:val="0"/>
      <w:marBottom w:val="0"/>
      <w:divBdr>
        <w:top w:val="none" w:sz="0" w:space="0" w:color="auto"/>
        <w:left w:val="none" w:sz="0" w:space="0" w:color="auto"/>
        <w:bottom w:val="none" w:sz="0" w:space="0" w:color="auto"/>
        <w:right w:val="none" w:sz="0" w:space="0" w:color="auto"/>
      </w:divBdr>
    </w:div>
    <w:div w:id="129540268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721204031">
      <w:bodyDiv w:val="1"/>
      <w:marLeft w:val="0"/>
      <w:marRight w:val="0"/>
      <w:marTop w:val="0"/>
      <w:marBottom w:val="0"/>
      <w:divBdr>
        <w:top w:val="none" w:sz="0" w:space="0" w:color="auto"/>
        <w:left w:val="none" w:sz="0" w:space="0" w:color="auto"/>
        <w:bottom w:val="none" w:sz="0" w:space="0" w:color="auto"/>
        <w:right w:val="none" w:sz="0" w:space="0" w:color="auto"/>
      </w:divBdr>
    </w:div>
    <w:div w:id="1740590922">
      <w:bodyDiv w:val="1"/>
      <w:marLeft w:val="0"/>
      <w:marRight w:val="0"/>
      <w:marTop w:val="0"/>
      <w:marBottom w:val="0"/>
      <w:divBdr>
        <w:top w:val="none" w:sz="0" w:space="0" w:color="auto"/>
        <w:left w:val="none" w:sz="0" w:space="0" w:color="auto"/>
        <w:bottom w:val="none" w:sz="0" w:space="0" w:color="auto"/>
        <w:right w:val="none" w:sz="0" w:space="0" w:color="auto"/>
      </w:divBdr>
    </w:div>
    <w:div w:id="1828936597">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 w:id="1993174315">
      <w:bodyDiv w:val="1"/>
      <w:marLeft w:val="0"/>
      <w:marRight w:val="0"/>
      <w:marTop w:val="0"/>
      <w:marBottom w:val="0"/>
      <w:divBdr>
        <w:top w:val="none" w:sz="0" w:space="0" w:color="auto"/>
        <w:left w:val="none" w:sz="0" w:space="0" w:color="auto"/>
        <w:bottom w:val="none" w:sz="0" w:space="0" w:color="auto"/>
        <w:right w:val="none" w:sz="0" w:space="0" w:color="auto"/>
      </w:divBdr>
    </w:div>
    <w:div w:id="202848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sw.gov.au/departments-and-agencies/dcceew"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1ce4b38-b5c9-4a63-bc46-a3ee32bdc7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31ACD576080E4CAFE025AD0C053CF6" ma:contentTypeVersion="10" ma:contentTypeDescription="Create a new document." ma:contentTypeScope="" ma:versionID="55428f1f76702be26b5ae45fad236006">
  <xsd:schema xmlns:xsd="http://www.w3.org/2001/XMLSchema" xmlns:xs="http://www.w3.org/2001/XMLSchema" xmlns:p="http://schemas.microsoft.com/office/2006/metadata/properties" xmlns:ns3="51ce4b38-b5c9-4a63-bc46-a3ee32bdc72b" targetNamespace="http://schemas.microsoft.com/office/2006/metadata/properties" ma:root="true" ma:fieldsID="fe7f9360030a2ece462474f519776c93" ns3:_="">
    <xsd:import namespace="51ce4b38-b5c9-4a63-bc46-a3ee32bdc72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e4b38-b5c9-4a63-bc46-a3ee32bdc72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FF79A-E56E-437A-A831-0A4D22E5DE6A}">
  <ds:schemaRefs>
    <ds:schemaRef ds:uri="http://schemas.microsoft.com/sharepoint/v3/contenttype/forms"/>
  </ds:schemaRefs>
</ds:datastoreItem>
</file>

<file path=customXml/itemProps2.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3.xml><?xml version="1.0" encoding="utf-8"?>
<ds:datastoreItem xmlns:ds="http://schemas.openxmlformats.org/officeDocument/2006/customXml" ds:itemID="{EEDCDDF8-9246-4FB8-AD7E-7A5486B35AB8}">
  <ds:schemaRefs>
    <ds:schemaRef ds:uri="http://schemas.microsoft.com/office/2006/metadata/properties"/>
    <ds:schemaRef ds:uri="http://schemas.microsoft.com/office/infopath/2007/PartnerControls"/>
    <ds:schemaRef ds:uri="51ce4b38-b5c9-4a63-bc46-a3ee32bdc72b"/>
  </ds:schemaRefs>
</ds:datastoreItem>
</file>

<file path=customXml/itemProps4.xml><?xml version="1.0" encoding="utf-8"?>
<ds:datastoreItem xmlns:ds="http://schemas.openxmlformats.org/officeDocument/2006/customXml" ds:itemID="{15841DC8-9B59-4225-9298-DD46EA5D1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e4b38-b5c9-4a63-bc46-a3ee32bdc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2682</Words>
  <Characters>15289</Characters>
  <Application>Microsoft Office Word</Application>
  <DocSecurity>0</DocSecurity>
  <Lines>127</Lines>
  <Paragraphs>35</Paragraphs>
  <ScaleCrop>false</ScaleCrop>
  <Company>Public Sector Commission</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subject/>
  <dc:creator>Jennifer Christensen</dc:creator>
  <cp:keywords/>
  <cp:lastModifiedBy>Rana Marmora</cp:lastModifiedBy>
  <cp:revision>3</cp:revision>
  <cp:lastPrinted>2021-06-09T07:46:00Z</cp:lastPrinted>
  <dcterms:created xsi:type="dcterms:W3CDTF">2025-05-12T02:24:00Z</dcterms:created>
  <dcterms:modified xsi:type="dcterms:W3CDTF">2025-05-12T02:24:00Z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0x0101000931ACD576080E4CAFE025AD0C053CF6</vt:lpwstr>
  </property>
  <property fmtid="{D5CDD505-2E9C-101B-9397-08002B2CF9AE}" pid="4" name="MediaServiceImageTags">
    <vt:lpwstr/>
  </property>
</Properties>
</file>