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42ACB1D" w14:textId="77777777" w:rsidR="00D64474" w:rsidRPr="00EB4B7B" w:rsidRDefault="00B35D7C" w:rsidP="00D64474">
      <w:pPr>
        <w:pStyle w:val="Heading1"/>
        <w:tabs>
          <w:tab w:val="left" w:pos="720"/>
          <w:tab w:val="left" w:pos="1440"/>
          <w:tab w:val="left" w:pos="2160"/>
          <w:tab w:val="left" w:pos="2880"/>
          <w:tab w:val="left" w:pos="3600"/>
          <w:tab w:val="right" w:pos="10348"/>
        </w:tabs>
        <w:rPr>
          <w:b w:val="0"/>
          <w:bCs w:val="0"/>
        </w:rPr>
      </w:pPr>
      <w:r w:rsidRPr="00EB4B7B">
        <w:rPr>
          <w:b w:val="0"/>
          <w:bCs w:val="0"/>
          <w:noProof/>
        </w:rPr>
        <w:drawing>
          <wp:anchor distT="0" distB="91440" distL="114300" distR="114300" simplePos="0" relativeHeight="251658240" behindDoc="0" locked="0" layoutInCell="1" allowOverlap="1" wp14:anchorId="4184A6D5" wp14:editId="3B282F49">
            <wp:simplePos x="0" y="0"/>
            <wp:positionH relativeFrom="margin">
              <wp:posOffset>5847080</wp:posOffset>
            </wp:positionH>
            <wp:positionV relativeFrom="margin">
              <wp:posOffset>10795</wp:posOffset>
            </wp:positionV>
            <wp:extent cx="798830" cy="848995"/>
            <wp:effectExtent l="0" t="0" r="1270" b="8255"/>
            <wp:wrapSquare wrapText="bothSides"/>
            <wp:docPr id="7931" name="Pictur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1" name="Picture 1">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8830" cy="848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474" w:rsidRPr="00EB4B7B">
        <w:rPr>
          <w:b w:val="0"/>
          <w:bCs w:val="0"/>
        </w:rPr>
        <w:t>Role Description</w:t>
      </w:r>
    </w:p>
    <w:p w14:paraId="0E2DD959" w14:textId="43FA7519" w:rsidR="00076EAB" w:rsidRPr="00076EAB" w:rsidRDefault="00157808" w:rsidP="00EB4B7B">
      <w:pPr>
        <w:pStyle w:val="Heading1"/>
        <w:tabs>
          <w:tab w:val="right" w:pos="10206"/>
        </w:tabs>
        <w:spacing w:after="120"/>
      </w:pPr>
      <w:r>
        <w:t>Team Lead</w:t>
      </w:r>
      <w:r w:rsidR="002941FE">
        <w:t xml:space="preserve"> </w:t>
      </w:r>
      <w:r w:rsidR="00974D09">
        <w:t xml:space="preserve">Library and </w:t>
      </w:r>
      <w:r w:rsidR="00BA5759">
        <w:t xml:space="preserve">Information </w:t>
      </w:r>
      <w:r w:rsidR="00EB4B7B">
        <w:br/>
      </w:r>
      <w:r w:rsidR="002941FE">
        <w:t>Services</w:t>
      </w:r>
    </w:p>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DA6BE6" w:rsidRPr="00C978B9" w14:paraId="0AD2506F"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0523D419" w14:textId="77777777" w:rsidR="00DA6BE6" w:rsidRPr="00853F21" w:rsidRDefault="00DA6BE6" w:rsidP="003E0D69">
            <w:pPr>
              <w:pStyle w:val="TableTextWhite"/>
              <w:rPr>
                <w:b/>
              </w:rPr>
            </w:pPr>
            <w:r w:rsidRPr="00853F21">
              <w:rPr>
                <w:b/>
              </w:rPr>
              <w:t>Cluster</w:t>
            </w:r>
          </w:p>
        </w:tc>
        <w:tc>
          <w:tcPr>
            <w:tcW w:w="6530" w:type="dxa"/>
          </w:tcPr>
          <w:p w14:paraId="4A8C7E33" w14:textId="1A13BB79" w:rsidR="00DA6BE6" w:rsidRPr="009253FB" w:rsidRDefault="004A3696" w:rsidP="003E0D69">
            <w:pPr>
              <w:pStyle w:val="TableTextWhite"/>
              <w:rPr>
                <w:bCs/>
              </w:rPr>
            </w:pPr>
            <w:r w:rsidRPr="009253FB">
              <w:rPr>
                <w:bCs/>
              </w:rPr>
              <w:t>Planning</w:t>
            </w:r>
            <w:r w:rsidR="00B62300" w:rsidRPr="009253FB">
              <w:rPr>
                <w:bCs/>
              </w:rPr>
              <w:t>, Housing and Infrastructure</w:t>
            </w:r>
          </w:p>
        </w:tc>
      </w:tr>
      <w:tr w:rsidR="00DA6BE6" w:rsidRPr="00C978B9" w14:paraId="262A7215" w14:textId="77777777" w:rsidTr="00103875">
        <w:trPr>
          <w:cantSplit/>
        </w:trPr>
        <w:tc>
          <w:tcPr>
            <w:tcW w:w="4026" w:type="dxa"/>
            <w:vAlign w:val="center"/>
          </w:tcPr>
          <w:p w14:paraId="41646700"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43D03913" w14:textId="020BBFA4" w:rsidR="00DA6BE6" w:rsidRPr="009253FB" w:rsidRDefault="004A3696" w:rsidP="003E0D69">
            <w:pPr>
              <w:pStyle w:val="TableTextWhite"/>
              <w:rPr>
                <w:bCs/>
              </w:rPr>
            </w:pPr>
            <w:r w:rsidRPr="009253FB">
              <w:rPr>
                <w:bCs/>
              </w:rPr>
              <w:t>Department of Planning</w:t>
            </w:r>
            <w:r w:rsidR="00B62300" w:rsidRPr="009253FB">
              <w:rPr>
                <w:bCs/>
              </w:rPr>
              <w:t>, Housing and Infrastructure</w:t>
            </w:r>
          </w:p>
        </w:tc>
      </w:tr>
      <w:tr w:rsidR="00DA6BE6" w:rsidRPr="00C978B9" w14:paraId="66CAEE4A" w14:textId="77777777" w:rsidTr="00103875">
        <w:trPr>
          <w:cantSplit/>
        </w:trPr>
        <w:tc>
          <w:tcPr>
            <w:tcW w:w="4026" w:type="dxa"/>
            <w:vAlign w:val="center"/>
          </w:tcPr>
          <w:p w14:paraId="456763D9" w14:textId="77777777" w:rsidR="00DA6BE6" w:rsidRPr="00853F21" w:rsidRDefault="00DA6BE6" w:rsidP="003E0D69">
            <w:pPr>
              <w:pStyle w:val="TableTextWhite"/>
              <w:rPr>
                <w:b/>
              </w:rPr>
            </w:pPr>
            <w:r w:rsidRPr="00853F21">
              <w:rPr>
                <w:b/>
              </w:rPr>
              <w:t>Division/Branch/Unit</w:t>
            </w:r>
          </w:p>
        </w:tc>
        <w:tc>
          <w:tcPr>
            <w:tcW w:w="6530" w:type="dxa"/>
          </w:tcPr>
          <w:p w14:paraId="2A6E5BF7" w14:textId="77777777" w:rsidR="00DA6BE6" w:rsidRPr="009253FB" w:rsidRDefault="004A3696" w:rsidP="003E0D69">
            <w:pPr>
              <w:pStyle w:val="TableTextWhite"/>
              <w:rPr>
                <w:bCs/>
              </w:rPr>
            </w:pPr>
            <w:r w:rsidRPr="009253FB">
              <w:rPr>
                <w:bCs/>
              </w:rPr>
              <w:t>Corporate Services / Digital Information Office</w:t>
            </w:r>
          </w:p>
        </w:tc>
      </w:tr>
      <w:tr w:rsidR="004A3696" w:rsidRPr="00C978B9" w14:paraId="01271F1F" w14:textId="77777777" w:rsidTr="00103875">
        <w:trPr>
          <w:cantSplit/>
        </w:trPr>
        <w:tc>
          <w:tcPr>
            <w:tcW w:w="4026" w:type="dxa"/>
            <w:vAlign w:val="center"/>
          </w:tcPr>
          <w:p w14:paraId="12248BBD" w14:textId="77777777" w:rsidR="004A3696" w:rsidRPr="00853F21" w:rsidRDefault="004A3696" w:rsidP="003E0D69">
            <w:pPr>
              <w:pStyle w:val="TableTextWhite"/>
              <w:rPr>
                <w:b/>
              </w:rPr>
            </w:pPr>
            <w:r w:rsidRPr="004A3696">
              <w:rPr>
                <w:b/>
              </w:rPr>
              <w:t>Role number</w:t>
            </w:r>
          </w:p>
        </w:tc>
        <w:tc>
          <w:tcPr>
            <w:tcW w:w="6530" w:type="dxa"/>
          </w:tcPr>
          <w:p w14:paraId="1F1198FF" w14:textId="56E26745" w:rsidR="004A3696" w:rsidRPr="009253FB" w:rsidRDefault="00CF10C6" w:rsidP="003E0D69">
            <w:pPr>
              <w:pStyle w:val="TableTextWhite"/>
              <w:rPr>
                <w:bCs/>
              </w:rPr>
            </w:pPr>
            <w:r w:rsidRPr="009253FB">
              <w:rPr>
                <w:bCs/>
              </w:rPr>
              <w:t>50026389</w:t>
            </w:r>
          </w:p>
        </w:tc>
      </w:tr>
      <w:tr w:rsidR="00DA6BE6" w:rsidRPr="00C978B9" w14:paraId="64921185" w14:textId="77777777" w:rsidTr="00103875">
        <w:trPr>
          <w:cantSplit/>
        </w:trPr>
        <w:tc>
          <w:tcPr>
            <w:tcW w:w="4026" w:type="dxa"/>
            <w:vAlign w:val="center"/>
          </w:tcPr>
          <w:p w14:paraId="54E18961" w14:textId="77777777" w:rsidR="00DA6BE6" w:rsidRPr="00853F21" w:rsidRDefault="00DA6BE6" w:rsidP="003E0D69">
            <w:pPr>
              <w:pStyle w:val="TableTextWhite"/>
              <w:rPr>
                <w:b/>
                <w:color w:val="000000"/>
              </w:rPr>
            </w:pPr>
            <w:r w:rsidRPr="00853F21">
              <w:rPr>
                <w:b/>
              </w:rPr>
              <w:t>Classification/Grade/Band</w:t>
            </w:r>
          </w:p>
        </w:tc>
        <w:tc>
          <w:tcPr>
            <w:tcW w:w="6530" w:type="dxa"/>
          </w:tcPr>
          <w:p w14:paraId="6B603304" w14:textId="77777777" w:rsidR="00DA6BE6" w:rsidRPr="009253FB" w:rsidRDefault="004A3696" w:rsidP="003E0D69">
            <w:pPr>
              <w:pStyle w:val="TableTextWhite"/>
              <w:rPr>
                <w:bCs/>
              </w:rPr>
            </w:pPr>
            <w:r w:rsidRPr="009253FB">
              <w:rPr>
                <w:bCs/>
              </w:rPr>
              <w:t>Clerk Grade 9/10</w:t>
            </w:r>
          </w:p>
        </w:tc>
      </w:tr>
      <w:tr w:rsidR="00DA6BE6" w:rsidRPr="00C978B9" w14:paraId="39EF5C6F" w14:textId="77777777" w:rsidTr="00103875">
        <w:trPr>
          <w:cantSplit/>
        </w:trPr>
        <w:tc>
          <w:tcPr>
            <w:tcW w:w="4026" w:type="dxa"/>
            <w:vAlign w:val="center"/>
          </w:tcPr>
          <w:p w14:paraId="7826EF84" w14:textId="77777777" w:rsidR="00DA6BE6" w:rsidRPr="00853F21" w:rsidRDefault="00DA6BE6" w:rsidP="003E0D69">
            <w:pPr>
              <w:pStyle w:val="TableTextWhite"/>
              <w:rPr>
                <w:b/>
                <w:color w:val="000000"/>
              </w:rPr>
            </w:pPr>
            <w:r w:rsidRPr="00853F21">
              <w:rPr>
                <w:b/>
              </w:rPr>
              <w:t>ANZSCO Code</w:t>
            </w:r>
          </w:p>
        </w:tc>
        <w:tc>
          <w:tcPr>
            <w:tcW w:w="6530" w:type="dxa"/>
          </w:tcPr>
          <w:p w14:paraId="08BF9CCF" w14:textId="2CB96AE1" w:rsidR="00DA6BE6" w:rsidRPr="009253FB" w:rsidRDefault="0073782E" w:rsidP="003E0D69">
            <w:pPr>
              <w:pStyle w:val="TableTextWhite"/>
              <w:rPr>
                <w:bCs/>
              </w:rPr>
            </w:pPr>
            <w:r w:rsidRPr="009253FB">
              <w:rPr>
                <w:bCs/>
              </w:rPr>
              <w:t>224214</w:t>
            </w:r>
          </w:p>
        </w:tc>
      </w:tr>
      <w:tr w:rsidR="00DA6BE6" w:rsidRPr="00C978B9" w14:paraId="2A4DE4AD" w14:textId="77777777" w:rsidTr="00103875">
        <w:trPr>
          <w:cantSplit/>
        </w:trPr>
        <w:tc>
          <w:tcPr>
            <w:tcW w:w="4026" w:type="dxa"/>
            <w:vAlign w:val="center"/>
          </w:tcPr>
          <w:p w14:paraId="2EB9E0BF" w14:textId="77777777" w:rsidR="00DA6BE6" w:rsidRPr="00853F21" w:rsidRDefault="00DA6BE6" w:rsidP="003E0D69">
            <w:pPr>
              <w:pStyle w:val="TableTextWhite"/>
              <w:rPr>
                <w:b/>
                <w:color w:val="000000"/>
              </w:rPr>
            </w:pPr>
            <w:r w:rsidRPr="00853F21">
              <w:rPr>
                <w:b/>
              </w:rPr>
              <w:t>PCAT Code</w:t>
            </w:r>
          </w:p>
        </w:tc>
        <w:tc>
          <w:tcPr>
            <w:tcW w:w="6530" w:type="dxa"/>
          </w:tcPr>
          <w:p w14:paraId="2BEFD1BC" w14:textId="77777777" w:rsidR="00DA6BE6" w:rsidRPr="009253FB" w:rsidRDefault="004A3696" w:rsidP="003E0D69">
            <w:pPr>
              <w:pStyle w:val="TableTextWhite"/>
              <w:rPr>
                <w:bCs/>
              </w:rPr>
            </w:pPr>
            <w:r w:rsidRPr="009253FB">
              <w:rPr>
                <w:bCs/>
              </w:rPr>
              <w:t>1226492</w:t>
            </w:r>
          </w:p>
        </w:tc>
      </w:tr>
      <w:tr w:rsidR="00DA6BE6" w:rsidRPr="00C978B9" w14:paraId="1CF6DC27" w14:textId="77777777" w:rsidTr="00103875">
        <w:trPr>
          <w:cantSplit/>
        </w:trPr>
        <w:tc>
          <w:tcPr>
            <w:tcW w:w="4026" w:type="dxa"/>
            <w:vAlign w:val="center"/>
          </w:tcPr>
          <w:p w14:paraId="094A905A" w14:textId="77777777" w:rsidR="00DA6BE6" w:rsidRPr="00853F21" w:rsidRDefault="00DA6BE6" w:rsidP="003E0D69">
            <w:pPr>
              <w:pStyle w:val="TableTextWhite"/>
              <w:rPr>
                <w:b/>
                <w:color w:val="000000"/>
              </w:rPr>
            </w:pPr>
            <w:r w:rsidRPr="00853F21">
              <w:rPr>
                <w:b/>
              </w:rPr>
              <w:t>Date of Approval</w:t>
            </w:r>
          </w:p>
        </w:tc>
        <w:tc>
          <w:tcPr>
            <w:tcW w:w="6530" w:type="dxa"/>
          </w:tcPr>
          <w:p w14:paraId="0C907576" w14:textId="696F5E31" w:rsidR="00DA6BE6" w:rsidRPr="009253FB" w:rsidRDefault="00B62300" w:rsidP="003E0D69">
            <w:pPr>
              <w:pStyle w:val="TableTextWhite"/>
              <w:rPr>
                <w:bCs/>
              </w:rPr>
            </w:pPr>
            <w:r w:rsidRPr="009253FB">
              <w:rPr>
                <w:bCs/>
              </w:rPr>
              <w:t xml:space="preserve">April </w:t>
            </w:r>
            <w:r w:rsidR="00241196" w:rsidRPr="009253FB">
              <w:rPr>
                <w:bCs/>
              </w:rPr>
              <w:t>202</w:t>
            </w:r>
            <w:r w:rsidRPr="009253FB">
              <w:rPr>
                <w:bCs/>
              </w:rPr>
              <w:t>5</w:t>
            </w:r>
            <w:r w:rsidR="003A081E">
              <w:rPr>
                <w:bCs/>
              </w:rPr>
              <w:t xml:space="preserve"> (updated May 2025)</w:t>
            </w:r>
          </w:p>
        </w:tc>
      </w:tr>
      <w:tr w:rsidR="004A3696" w:rsidRPr="00C978B9" w14:paraId="0D8658DB" w14:textId="77777777" w:rsidTr="00103875">
        <w:trPr>
          <w:cantSplit/>
        </w:trPr>
        <w:tc>
          <w:tcPr>
            <w:tcW w:w="4026" w:type="dxa"/>
            <w:vAlign w:val="center"/>
          </w:tcPr>
          <w:p w14:paraId="4568850E" w14:textId="77777777" w:rsidR="004A3696" w:rsidRPr="00853F21" w:rsidRDefault="004A3696" w:rsidP="003E0D69">
            <w:pPr>
              <w:pStyle w:val="TableTextWhite"/>
              <w:rPr>
                <w:b/>
              </w:rPr>
            </w:pPr>
            <w:r w:rsidRPr="004A3696">
              <w:rPr>
                <w:b/>
              </w:rPr>
              <w:t>Agency Website</w:t>
            </w:r>
          </w:p>
        </w:tc>
        <w:tc>
          <w:tcPr>
            <w:tcW w:w="6530" w:type="dxa"/>
          </w:tcPr>
          <w:p w14:paraId="55C54F77" w14:textId="39DD5E2C" w:rsidR="004A3696" w:rsidRPr="009253FB" w:rsidRDefault="0058273B" w:rsidP="003E0D69">
            <w:pPr>
              <w:pStyle w:val="TableTextWhite"/>
              <w:rPr>
                <w:bCs/>
              </w:rPr>
            </w:pPr>
            <w:hyperlink r:id="rId12" w:history="1">
              <w:r w:rsidRPr="006E3FAD">
                <w:rPr>
                  <w:rStyle w:val="Hyperlink"/>
                </w:rPr>
                <w:t>https://www.nsw.gov.au/departments-and-agencies/department-of-planning-housing-and-infrastructure</w:t>
              </w:r>
            </w:hyperlink>
          </w:p>
        </w:tc>
      </w:tr>
    </w:tbl>
    <w:p w14:paraId="760B8E1D" w14:textId="77777777" w:rsidR="00057CB3" w:rsidRPr="00C978B9" w:rsidRDefault="004A3696" w:rsidP="00FB27B0">
      <w:pPr>
        <w:pStyle w:val="Heading2"/>
      </w:pPr>
      <w:r w:rsidRPr="004A3696">
        <w:t>Agency overview</w:t>
      </w:r>
    </w:p>
    <w:p w14:paraId="329B21B7" w14:textId="77777777" w:rsidR="00276D2E" w:rsidRDefault="00276D2E" w:rsidP="00276D2E">
      <w:pPr>
        <w:pStyle w:val="paragraph"/>
        <w:spacing w:before="0" w:beforeAutospacing="0" w:after="200" w:afterAutospacing="0" w:line="276" w:lineRule="auto"/>
        <w:textAlignment w:val="baseline"/>
        <w:rPr>
          <w:rStyle w:val="eop"/>
          <w:rFonts w:ascii="Arial" w:eastAsiaTheme="majorEastAsia" w:hAnsi="Arial" w:cs="Arial"/>
          <w:sz w:val="22"/>
          <w:szCs w:val="22"/>
        </w:rPr>
      </w:pPr>
      <w:bookmarkStart w:id="1" w:name="_Hlk30003721"/>
      <w:r w:rsidRPr="002D0EBD">
        <w:rPr>
          <w:rStyle w:val="normaltextrun"/>
          <w:rFonts w:ascii="Arial" w:hAnsi="Arial" w:cs="Arial"/>
          <w:sz w:val="22"/>
          <w:szCs w:val="22"/>
          <w:lang w:val="en-GB"/>
        </w:rPr>
        <w:t>The Department of Planning, Housing and Infrastructure (DPHI) improves the liveability and prosperity of NSW. To achieve this, we:</w:t>
      </w:r>
    </w:p>
    <w:p w14:paraId="04692ABF" w14:textId="77777777" w:rsidR="00276D2E" w:rsidRPr="002D0EBD" w:rsidRDefault="00276D2E" w:rsidP="00276D2E">
      <w:pPr>
        <w:pStyle w:val="paragraph"/>
        <w:numPr>
          <w:ilvl w:val="0"/>
          <w:numId w:val="17"/>
        </w:numPr>
        <w:spacing w:before="0" w:beforeAutospacing="0" w:after="0" w:afterAutospacing="0"/>
        <w:textAlignment w:val="baseline"/>
        <w:rPr>
          <w:rFonts w:ascii="Arial" w:hAnsi="Arial" w:cs="Arial"/>
          <w:sz w:val="22"/>
          <w:szCs w:val="22"/>
        </w:rPr>
      </w:pPr>
      <w:r w:rsidRPr="002D0EBD">
        <w:rPr>
          <w:rStyle w:val="normaltextrun"/>
          <w:rFonts w:ascii="Arial" w:hAnsi="Arial" w:cs="Arial"/>
          <w:sz w:val="22"/>
          <w:szCs w:val="22"/>
        </w:rPr>
        <w:t>create vibrant, productive spaces and precincts;</w:t>
      </w:r>
    </w:p>
    <w:p w14:paraId="51999CE1" w14:textId="77777777" w:rsidR="00276D2E" w:rsidRPr="002D0EBD" w:rsidRDefault="00276D2E" w:rsidP="00276D2E">
      <w:pPr>
        <w:pStyle w:val="paragraph"/>
        <w:numPr>
          <w:ilvl w:val="0"/>
          <w:numId w:val="17"/>
        </w:numPr>
        <w:spacing w:before="0" w:beforeAutospacing="0" w:after="0" w:afterAutospacing="0"/>
        <w:textAlignment w:val="baseline"/>
        <w:rPr>
          <w:rFonts w:ascii="Arial" w:hAnsi="Arial" w:cs="Arial"/>
          <w:sz w:val="22"/>
          <w:szCs w:val="22"/>
        </w:rPr>
      </w:pPr>
      <w:r w:rsidRPr="002D0EBD">
        <w:rPr>
          <w:rStyle w:val="normaltextrun"/>
          <w:rFonts w:ascii="Arial" w:hAnsi="Arial" w:cs="Arial"/>
          <w:sz w:val="22"/>
          <w:szCs w:val="22"/>
        </w:rPr>
        <w:t>manage lands, assets and property effectively; and</w:t>
      </w:r>
    </w:p>
    <w:p w14:paraId="0D24461F" w14:textId="77777777" w:rsidR="00276D2E" w:rsidRPr="002D0EBD" w:rsidRDefault="00276D2E" w:rsidP="00276D2E">
      <w:pPr>
        <w:pStyle w:val="paragraph"/>
        <w:numPr>
          <w:ilvl w:val="0"/>
          <w:numId w:val="17"/>
        </w:numPr>
        <w:spacing w:before="0" w:beforeAutospacing="0" w:after="200" w:afterAutospacing="0" w:line="276" w:lineRule="auto"/>
        <w:ind w:left="357" w:hanging="357"/>
        <w:textAlignment w:val="baseline"/>
        <w:rPr>
          <w:rFonts w:ascii="Arial" w:hAnsi="Arial" w:cs="Arial"/>
          <w:sz w:val="22"/>
          <w:szCs w:val="22"/>
        </w:rPr>
      </w:pPr>
      <w:r w:rsidRPr="002D0EBD">
        <w:rPr>
          <w:rStyle w:val="normaltextrun"/>
          <w:rFonts w:ascii="Arial" w:hAnsi="Arial" w:cs="Arial"/>
          <w:sz w:val="22"/>
          <w:szCs w:val="22"/>
        </w:rPr>
        <w:t>deliver affordable and diverse housing.</w:t>
      </w:r>
    </w:p>
    <w:p w14:paraId="3457F675" w14:textId="43A2D9B2" w:rsidR="00246BFC" w:rsidRPr="000364C7" w:rsidRDefault="00276D2E" w:rsidP="00276D2E">
      <w:pPr>
        <w:rPr>
          <w:rFonts w:cs="Arial"/>
          <w:lang w:eastAsia="en-AU"/>
        </w:rPr>
      </w:pPr>
      <w:r w:rsidRPr="002D0EBD">
        <w:rPr>
          <w:rStyle w:val="normaltextrun"/>
          <w:rFonts w:cs="Arial"/>
          <w:szCs w:val="22"/>
          <w:lang w:val="en-US"/>
        </w:rPr>
        <w:t xml:space="preserve">We strive to be a high performing, world class public service </w:t>
      </w:r>
      <w:proofErr w:type="spellStart"/>
      <w:r w:rsidRPr="002D0EBD">
        <w:rPr>
          <w:rStyle w:val="normaltextrun"/>
          <w:rFonts w:cs="Arial"/>
          <w:szCs w:val="22"/>
          <w:lang w:val="en-US"/>
        </w:rPr>
        <w:t>organisation</w:t>
      </w:r>
      <w:proofErr w:type="spellEnd"/>
      <w:r w:rsidRPr="002D0EBD">
        <w:rPr>
          <w:rStyle w:val="normaltextrun"/>
          <w:rFonts w:cs="Arial"/>
          <w:szCs w:val="22"/>
          <w:lang w:val="en-US"/>
        </w:rPr>
        <w:t xml:space="preserve"> that celebrates and reflects the full diversity of the community we serve and builds the cultural capability of our department to improve outcomes with, and for, Aboriginal people, communities and entities.</w:t>
      </w:r>
    </w:p>
    <w:p w14:paraId="2D96AD2A" w14:textId="77777777" w:rsidR="004A3696" w:rsidRPr="000364C7" w:rsidRDefault="004A3696" w:rsidP="004A3696">
      <w:pPr>
        <w:pStyle w:val="Heading2"/>
      </w:pPr>
      <w:r w:rsidRPr="000364C7">
        <w:t>Primary purpose of the role</w:t>
      </w:r>
    </w:p>
    <w:p w14:paraId="74E14A4C" w14:textId="455069AB" w:rsidR="001D6997" w:rsidRPr="000364C7" w:rsidRDefault="00867474" w:rsidP="00FB27B0">
      <w:pPr>
        <w:rPr>
          <w:rFonts w:cs="Arial"/>
        </w:rPr>
      </w:pPr>
      <w:r w:rsidRPr="000364C7">
        <w:rPr>
          <w:rFonts w:cs="Arial"/>
        </w:rPr>
        <w:t>The r</w:t>
      </w:r>
      <w:r w:rsidR="00041789" w:rsidRPr="000364C7">
        <w:rPr>
          <w:rFonts w:cs="Arial"/>
        </w:rPr>
        <w:t xml:space="preserve">ole is responsible for leading the </w:t>
      </w:r>
      <w:r w:rsidR="00726FBD" w:rsidRPr="000364C7">
        <w:rPr>
          <w:rFonts w:cs="Arial"/>
        </w:rPr>
        <w:t xml:space="preserve">Library and </w:t>
      </w:r>
      <w:r w:rsidR="00041789" w:rsidRPr="000364C7">
        <w:rPr>
          <w:rFonts w:cs="Arial"/>
        </w:rPr>
        <w:t xml:space="preserve">Information Services </w:t>
      </w:r>
      <w:r w:rsidR="00726FBD" w:rsidRPr="000364C7">
        <w:rPr>
          <w:rFonts w:cs="Arial"/>
        </w:rPr>
        <w:t xml:space="preserve">team </w:t>
      </w:r>
      <w:r w:rsidR="0071546A" w:rsidRPr="000364C7">
        <w:rPr>
          <w:rFonts w:cs="Arial"/>
        </w:rPr>
        <w:t xml:space="preserve">including </w:t>
      </w:r>
      <w:r w:rsidR="00041789" w:rsidRPr="000364C7">
        <w:rPr>
          <w:rFonts w:cs="Arial"/>
        </w:rPr>
        <w:t>planning, implementing and control</w:t>
      </w:r>
      <w:r w:rsidR="00521832">
        <w:rPr>
          <w:rFonts w:cs="Arial"/>
        </w:rPr>
        <w:t>ling</w:t>
      </w:r>
      <w:r w:rsidR="00041789" w:rsidRPr="000364C7">
        <w:rPr>
          <w:rFonts w:cs="Arial"/>
        </w:rPr>
        <w:t xml:space="preserve"> the management of digitally organised information and re</w:t>
      </w:r>
      <w:r w:rsidR="00521832">
        <w:rPr>
          <w:rFonts w:cs="Arial"/>
        </w:rPr>
        <w:t>sources to support evidence-based research and policy across the agency</w:t>
      </w:r>
      <w:r w:rsidR="00041789" w:rsidRPr="000364C7">
        <w:rPr>
          <w:rFonts w:cs="Arial"/>
        </w:rPr>
        <w:t xml:space="preserve">. The role </w:t>
      </w:r>
      <w:r w:rsidR="0022781F">
        <w:rPr>
          <w:rFonts w:cs="Arial"/>
        </w:rPr>
        <w:t xml:space="preserve">also </w:t>
      </w:r>
      <w:r w:rsidR="00041789" w:rsidRPr="000364C7">
        <w:rPr>
          <w:rFonts w:cs="Arial"/>
        </w:rPr>
        <w:t>supports compliant and sustainable information management and provide</w:t>
      </w:r>
      <w:r w:rsidR="0022781F">
        <w:rPr>
          <w:rFonts w:cs="Arial"/>
        </w:rPr>
        <w:t>s</w:t>
      </w:r>
      <w:r w:rsidR="00041789" w:rsidRPr="000364C7">
        <w:rPr>
          <w:rFonts w:cs="Arial"/>
        </w:rPr>
        <w:t xml:space="preserve"> professional services that support organisation wide capacity building through effective information capture, management, discovery and reuse. </w:t>
      </w:r>
    </w:p>
    <w:bookmarkEnd w:id="1"/>
    <w:p w14:paraId="168F28E1" w14:textId="40298912" w:rsidR="0063692C" w:rsidRPr="00157808" w:rsidRDefault="00057CB3" w:rsidP="00241196">
      <w:pPr>
        <w:pStyle w:val="Heading2"/>
      </w:pPr>
      <w:r w:rsidRPr="0063692C">
        <w:t xml:space="preserve">Key </w:t>
      </w:r>
      <w:r w:rsidR="00043B92" w:rsidRPr="0063692C">
        <w:t>a</w:t>
      </w:r>
      <w:r w:rsidRPr="0063692C">
        <w:t>ccountabilities</w:t>
      </w:r>
    </w:p>
    <w:p w14:paraId="2B9F584D" w14:textId="3E8BF897" w:rsidR="00E167C1" w:rsidRDefault="00E167C1" w:rsidP="001D6997">
      <w:pPr>
        <w:pStyle w:val="ListBullet"/>
        <w:rPr>
          <w:rFonts w:cs="Arial"/>
        </w:rPr>
      </w:pPr>
      <w:r w:rsidRPr="00E167C1">
        <w:rPr>
          <w:rFonts w:cs="Arial"/>
        </w:rPr>
        <w:t>Deliver an integrated, client-focused library service that enhances statewide access to research and information</w:t>
      </w:r>
      <w:r w:rsidR="005F061A">
        <w:rPr>
          <w:rFonts w:cs="Arial"/>
        </w:rPr>
        <w:t xml:space="preserve"> to</w:t>
      </w:r>
      <w:r w:rsidRPr="00E167C1">
        <w:rPr>
          <w:rFonts w:cs="Arial"/>
        </w:rPr>
        <w:t xml:space="preserve"> empower users and support community learning.</w:t>
      </w:r>
    </w:p>
    <w:p w14:paraId="67025253" w14:textId="2C988EDB" w:rsidR="00E167C1" w:rsidRDefault="00100B50" w:rsidP="001D6997">
      <w:pPr>
        <w:pStyle w:val="ListBullet"/>
        <w:rPr>
          <w:rFonts w:cs="Arial"/>
        </w:rPr>
      </w:pPr>
      <w:r>
        <w:rPr>
          <w:rFonts w:cs="Arial"/>
        </w:rPr>
        <w:t>Manage</w:t>
      </w:r>
      <w:r w:rsidR="00E167C1" w:rsidRPr="00E167C1">
        <w:rPr>
          <w:rFonts w:cs="Arial"/>
        </w:rPr>
        <w:t xml:space="preserve"> the identification, adoption, and implementation of technologies that improve access, streamline services, and ensure high-quality, consistent library experiences across a geographically dispersed user base.</w:t>
      </w:r>
    </w:p>
    <w:p w14:paraId="18BC15C2" w14:textId="69EC51B2" w:rsidR="00E167C1" w:rsidRDefault="00587229" w:rsidP="001D6997">
      <w:pPr>
        <w:pStyle w:val="ListBullet"/>
        <w:rPr>
          <w:rFonts w:cs="Arial"/>
        </w:rPr>
      </w:pPr>
      <w:r>
        <w:rPr>
          <w:rFonts w:cs="Arial"/>
        </w:rPr>
        <w:t>Monitor</w:t>
      </w:r>
      <w:r w:rsidR="00E167C1" w:rsidRPr="00E167C1">
        <w:rPr>
          <w:rFonts w:cs="Arial"/>
        </w:rPr>
        <w:t xml:space="preserve"> the Agency’s library collection and loans systems, ensuring accessibility, information integrity, compliance with professional standards, and alignment with open government initiatives.</w:t>
      </w:r>
    </w:p>
    <w:p w14:paraId="423399EC" w14:textId="77777777" w:rsidR="00E167C1" w:rsidRDefault="00E167C1" w:rsidP="001D6997">
      <w:pPr>
        <w:pStyle w:val="ListBullet"/>
        <w:rPr>
          <w:rFonts w:cs="Arial"/>
        </w:rPr>
      </w:pPr>
      <w:r w:rsidRPr="00E167C1">
        <w:rPr>
          <w:rFonts w:cs="Arial"/>
        </w:rPr>
        <w:t>Manage strategic projects, including digitisation and storage reviews, to improve information preservation, accessibility, and operational efficiency across physical and digital environments.</w:t>
      </w:r>
    </w:p>
    <w:p w14:paraId="441BDE32" w14:textId="7CAA2EB0" w:rsidR="00E167C1" w:rsidRDefault="0000314D" w:rsidP="001D6997">
      <w:pPr>
        <w:pStyle w:val="ListBullet"/>
        <w:rPr>
          <w:rFonts w:cs="Arial"/>
        </w:rPr>
      </w:pPr>
      <w:r>
        <w:rPr>
          <w:rFonts w:cs="Arial"/>
        </w:rPr>
        <w:t>Monitor</w:t>
      </w:r>
      <w:r w:rsidR="00E167C1" w:rsidRPr="00E167C1">
        <w:rPr>
          <w:rFonts w:cs="Arial"/>
        </w:rPr>
        <w:t xml:space="preserve"> financial operations, procurement, and vendor relationships to ensure sustainable, transparent, and cost-effective delivery of library and information services.</w:t>
      </w:r>
    </w:p>
    <w:p w14:paraId="3CA29B4E" w14:textId="0D1B0BAC" w:rsidR="00BE0851" w:rsidRPr="000364C7" w:rsidRDefault="00E167C1" w:rsidP="001D6997">
      <w:pPr>
        <w:pStyle w:val="ListBullet"/>
        <w:rPr>
          <w:rFonts w:cs="Arial"/>
          <w:lang w:eastAsia="en-AU"/>
        </w:rPr>
      </w:pPr>
      <w:r w:rsidRPr="00E167C1">
        <w:rPr>
          <w:rFonts w:cs="Arial"/>
        </w:rPr>
        <w:lastRenderedPageBreak/>
        <w:t>Develop and implement information management policies and provide strategic advice to influence the Directorate’s direction, drive innovation, support digital transformation, and enhance stakeholder engagement.</w:t>
      </w:r>
    </w:p>
    <w:p w14:paraId="143F05A4" w14:textId="77777777" w:rsidR="00057CB3" w:rsidRPr="000364C7" w:rsidRDefault="00057CB3" w:rsidP="000C453F">
      <w:pPr>
        <w:pStyle w:val="Heading2"/>
      </w:pPr>
      <w:r w:rsidRPr="000364C7">
        <w:t>Key</w:t>
      </w:r>
      <w:r w:rsidR="00E31CD3" w:rsidRPr="000364C7">
        <w:t xml:space="preserve"> </w:t>
      </w:r>
      <w:r w:rsidR="00043B92" w:rsidRPr="000364C7">
        <w:t>c</w:t>
      </w:r>
      <w:r w:rsidRPr="000364C7">
        <w:t>hallenges</w:t>
      </w:r>
    </w:p>
    <w:p w14:paraId="08D9BB8A" w14:textId="1104FE47" w:rsidR="0058273B" w:rsidRDefault="00391226" w:rsidP="00FB6607">
      <w:pPr>
        <w:pStyle w:val="ListBullet"/>
        <w:rPr>
          <w:rFonts w:cs="Arial"/>
        </w:rPr>
      </w:pPr>
      <w:r w:rsidRPr="00466755">
        <w:rPr>
          <w:rFonts w:cs="Arial"/>
        </w:rPr>
        <w:t>Leading the transition to a supported self-service library model while managing client education, resource development, and cultural change, in the context of shifting expectations and varied digital literacy across the organisation.</w:t>
      </w:r>
    </w:p>
    <w:p w14:paraId="7EF3B4F9" w14:textId="4E673723" w:rsidR="00FB6607" w:rsidRPr="000364C7" w:rsidRDefault="001240D1" w:rsidP="00FB6607">
      <w:pPr>
        <w:pStyle w:val="ListBullet"/>
        <w:rPr>
          <w:rFonts w:cs="Arial"/>
        </w:rPr>
      </w:pPr>
      <w:r w:rsidRPr="00466755">
        <w:rPr>
          <w:rFonts w:cs="Arial"/>
        </w:rPr>
        <w:t>Delivering consistent, networked information services and innovative, cost-effective physical and virtual solutions across a geographically dispersed and diverse environment, given varying levels of information management maturity</w:t>
      </w:r>
      <w:r w:rsidR="006F4C38">
        <w:rPr>
          <w:rFonts w:cs="Arial"/>
        </w:rPr>
        <w:t xml:space="preserve"> and evolving needs of DPHI, DPIRD</w:t>
      </w:r>
      <w:r w:rsidR="00E9766A">
        <w:rPr>
          <w:rFonts w:cs="Arial"/>
        </w:rPr>
        <w:t xml:space="preserve"> and DCCEEW staff </w:t>
      </w:r>
      <w:r w:rsidR="009B39AB">
        <w:rPr>
          <w:rFonts w:cs="Arial"/>
        </w:rPr>
        <w:t>and</w:t>
      </w:r>
      <w:r w:rsidR="00E9766A">
        <w:rPr>
          <w:rFonts w:cs="Arial"/>
        </w:rPr>
        <w:t xml:space="preserve"> the broader state and national priorities</w:t>
      </w:r>
      <w:r w:rsidRPr="00466755">
        <w:rPr>
          <w:rFonts w:cs="Arial"/>
        </w:rPr>
        <w:t>.</w:t>
      </w:r>
    </w:p>
    <w:p w14:paraId="59634BF9" w14:textId="288DF31C" w:rsidR="00BD27E4" w:rsidRPr="009253FB" w:rsidRDefault="00BD27E4" w:rsidP="00FB6607">
      <w:pPr>
        <w:pStyle w:val="ListBullet"/>
        <w:rPr>
          <w:rFonts w:cs="Arial"/>
        </w:rPr>
      </w:pPr>
      <w:r w:rsidRPr="009253FB">
        <w:rPr>
          <w:rFonts w:cs="Arial"/>
        </w:rPr>
        <w:t>Managing complex procurement and contract processes</w:t>
      </w:r>
      <w:r w:rsidR="00555B59">
        <w:rPr>
          <w:rFonts w:cs="Arial"/>
        </w:rPr>
        <w:t xml:space="preserve"> while</w:t>
      </w:r>
      <w:r w:rsidRPr="009253FB">
        <w:rPr>
          <w:rFonts w:cs="Arial"/>
        </w:rPr>
        <w:t xml:space="preserve"> maintaining compliance with public sector </w:t>
      </w:r>
      <w:proofErr w:type="gramStart"/>
      <w:r w:rsidRPr="009253FB">
        <w:rPr>
          <w:rFonts w:cs="Arial"/>
        </w:rPr>
        <w:t>requirements, and</w:t>
      </w:r>
      <w:proofErr w:type="gramEnd"/>
      <w:r w:rsidRPr="009253FB">
        <w:rPr>
          <w:rFonts w:cs="Arial"/>
        </w:rPr>
        <w:t xml:space="preserve"> coordinating multiple concurrent negotiations with vendors.</w:t>
      </w:r>
    </w:p>
    <w:p w14:paraId="01C4F8E9" w14:textId="4EE1C3AF" w:rsidR="00057CB3" w:rsidRDefault="00043B92" w:rsidP="000C453F">
      <w:pPr>
        <w:pStyle w:val="Heading2"/>
      </w:pPr>
      <w:r>
        <w:t>Key r</w:t>
      </w:r>
      <w:r w:rsidR="00057CB3" w:rsidRPr="00C978B9">
        <w:t>elationships</w:t>
      </w:r>
    </w:p>
    <w:p w14:paraId="7C8DB00C"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2694"/>
        <w:gridCol w:w="7853"/>
      </w:tblGrid>
      <w:tr w:rsidR="00057CB3" w:rsidRPr="00C978B9" w14:paraId="03141A15" w14:textId="77777777" w:rsidTr="00867474">
        <w:trPr>
          <w:cnfStyle w:val="100000000000" w:firstRow="1" w:lastRow="0" w:firstColumn="0" w:lastColumn="0" w:oddVBand="0" w:evenVBand="0" w:oddHBand="0" w:evenHBand="0" w:firstRowFirstColumn="0" w:firstRowLastColumn="0" w:lastRowFirstColumn="0" w:lastRowLastColumn="0"/>
          <w:cantSplit/>
        </w:trPr>
        <w:tc>
          <w:tcPr>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2A7BF69" w14:textId="77777777" w:rsidR="00057CB3" w:rsidRPr="00C978B9" w:rsidRDefault="00057CB3" w:rsidP="00803E47">
            <w:pPr>
              <w:pStyle w:val="TableTextWhite0"/>
            </w:pPr>
            <w:r w:rsidRPr="00C978B9">
              <w:t>Who</w:t>
            </w:r>
          </w:p>
        </w:tc>
        <w:tc>
          <w:tcPr>
            <w:tcW w:w="785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8670412" w14:textId="77777777" w:rsidR="00057CB3" w:rsidRPr="00C978B9" w:rsidRDefault="00057CB3" w:rsidP="00803E47">
            <w:pPr>
              <w:pStyle w:val="TableTextWhite0"/>
            </w:pPr>
            <w:r w:rsidRPr="00C978B9">
              <w:t>Why</w:t>
            </w:r>
          </w:p>
        </w:tc>
      </w:tr>
      <w:tr w:rsidR="0002436B" w:rsidRPr="00C978B9" w14:paraId="715958BA" w14:textId="77777777" w:rsidTr="00867474">
        <w:trPr>
          <w:cantSplit/>
        </w:trPr>
        <w:tc>
          <w:tcPr>
            <w:tcW w:w="2694" w:type="dxa"/>
          </w:tcPr>
          <w:p w14:paraId="35394E8D" w14:textId="77777777" w:rsidR="0002436B" w:rsidRPr="00A15CDB" w:rsidRDefault="00596C1A" w:rsidP="00A15CDB">
            <w:pPr>
              <w:pStyle w:val="TableText"/>
            </w:pPr>
            <w:bookmarkStart w:id="2" w:name="InternalRelationships"/>
            <w:r>
              <w:t>Manager</w:t>
            </w:r>
          </w:p>
        </w:tc>
        <w:tc>
          <w:tcPr>
            <w:tcW w:w="7853" w:type="dxa"/>
          </w:tcPr>
          <w:p w14:paraId="72875688" w14:textId="77777777" w:rsidR="00556B43" w:rsidRPr="009308D4" w:rsidRDefault="6C5AE7FB" w:rsidP="00641CB8">
            <w:pPr>
              <w:pStyle w:val="ListBullet"/>
              <w:rPr>
                <w:sz w:val="20"/>
                <w:lang w:eastAsia="en-AU"/>
              </w:rPr>
            </w:pPr>
            <w:r w:rsidRPr="02AFC879">
              <w:rPr>
                <w:sz w:val="20"/>
              </w:rPr>
              <w:t>Escalate issues, keep informed, advise, receive guidance and instructions</w:t>
            </w:r>
          </w:p>
          <w:p w14:paraId="4D0F920C" w14:textId="77777777" w:rsidR="00556B43" w:rsidRPr="009308D4" w:rsidRDefault="6C5AE7FB" w:rsidP="00641CB8">
            <w:pPr>
              <w:pStyle w:val="ListBullet"/>
              <w:rPr>
                <w:sz w:val="20"/>
                <w:lang w:eastAsia="en-AU"/>
              </w:rPr>
            </w:pPr>
            <w:r w:rsidRPr="02AFC879">
              <w:rPr>
                <w:sz w:val="20"/>
              </w:rPr>
              <w:t>Participate in meetings and discussions to share information and provide input and feedback</w:t>
            </w:r>
          </w:p>
          <w:p w14:paraId="6962ACE6" w14:textId="77777777" w:rsidR="00556B43" w:rsidRPr="009308D4" w:rsidRDefault="6C5AE7FB" w:rsidP="00641CB8">
            <w:pPr>
              <w:pStyle w:val="ListBullet"/>
              <w:rPr>
                <w:sz w:val="20"/>
                <w:lang w:eastAsia="en-AU"/>
              </w:rPr>
            </w:pPr>
            <w:r w:rsidRPr="02AFC879">
              <w:rPr>
                <w:sz w:val="20"/>
              </w:rPr>
              <w:t>Identify sensitive issues, risk &amp; opportunities and recommend potential solutions</w:t>
            </w:r>
          </w:p>
          <w:p w14:paraId="098FEBE5" w14:textId="77777777" w:rsidR="00556B43" w:rsidRPr="009308D4" w:rsidRDefault="6C5AE7FB" w:rsidP="00641CB8">
            <w:pPr>
              <w:pStyle w:val="ListBullet"/>
              <w:rPr>
                <w:sz w:val="20"/>
                <w:lang w:eastAsia="en-AU"/>
              </w:rPr>
            </w:pPr>
            <w:r w:rsidRPr="02AFC879">
              <w:rPr>
                <w:sz w:val="20"/>
              </w:rPr>
              <w:t>Provide regular updates on key projects and priorities</w:t>
            </w:r>
          </w:p>
        </w:tc>
      </w:tr>
      <w:tr w:rsidR="0002436B" w:rsidRPr="00C978B9" w14:paraId="388A1D65" w14:textId="77777777" w:rsidTr="00867474">
        <w:trPr>
          <w:cantSplit/>
        </w:trPr>
        <w:tc>
          <w:tcPr>
            <w:tcW w:w="2694" w:type="dxa"/>
          </w:tcPr>
          <w:p w14:paraId="0BADBBAE" w14:textId="77777777" w:rsidR="0002436B" w:rsidRPr="00A15CDB" w:rsidRDefault="00596C1A" w:rsidP="00A15CDB">
            <w:pPr>
              <w:pStyle w:val="TableText"/>
            </w:pPr>
            <w:r>
              <w:t>Work team</w:t>
            </w:r>
          </w:p>
        </w:tc>
        <w:tc>
          <w:tcPr>
            <w:tcW w:w="7853" w:type="dxa"/>
          </w:tcPr>
          <w:p w14:paraId="2305A91A" w14:textId="77777777" w:rsidR="00556B43" w:rsidRPr="009308D4" w:rsidRDefault="6C5AE7FB" w:rsidP="00641CB8">
            <w:pPr>
              <w:pStyle w:val="ListBullet"/>
              <w:rPr>
                <w:sz w:val="20"/>
                <w:lang w:eastAsia="en-AU"/>
              </w:rPr>
            </w:pPr>
            <w:r w:rsidRPr="02AFC879">
              <w:rPr>
                <w:sz w:val="20"/>
              </w:rPr>
              <w:t>Support team members and work collaboratively to contribute to achieving business outcomes</w:t>
            </w:r>
          </w:p>
          <w:p w14:paraId="2B350856" w14:textId="77777777" w:rsidR="00556B43" w:rsidRPr="009308D4" w:rsidRDefault="6C5AE7FB" w:rsidP="00641CB8">
            <w:pPr>
              <w:pStyle w:val="ListBullet"/>
              <w:rPr>
                <w:sz w:val="20"/>
                <w:lang w:eastAsia="en-AU"/>
              </w:rPr>
            </w:pPr>
            <w:r w:rsidRPr="02AFC879">
              <w:rPr>
                <w:sz w:val="20"/>
              </w:rPr>
              <w:t>Participate in discussions and decisions regarding resolution of issues and implementation of innovation and best practice</w:t>
            </w:r>
          </w:p>
          <w:p w14:paraId="2C8DA66E" w14:textId="77777777" w:rsidR="00556B43" w:rsidRPr="009308D4" w:rsidRDefault="6C5AE7FB" w:rsidP="00641CB8">
            <w:pPr>
              <w:pStyle w:val="ListBullet"/>
              <w:rPr>
                <w:sz w:val="20"/>
                <w:lang w:eastAsia="en-AU"/>
              </w:rPr>
            </w:pPr>
            <w:r w:rsidRPr="02AFC879">
              <w:rPr>
                <w:sz w:val="20"/>
              </w:rPr>
              <w:t>Represent work group perspective and share information</w:t>
            </w:r>
          </w:p>
          <w:p w14:paraId="5136A5F9" w14:textId="77777777" w:rsidR="00556B43" w:rsidRPr="009308D4" w:rsidRDefault="6C5AE7FB" w:rsidP="00641CB8">
            <w:pPr>
              <w:pStyle w:val="ListBullet"/>
              <w:rPr>
                <w:sz w:val="20"/>
                <w:lang w:eastAsia="en-AU"/>
              </w:rPr>
            </w:pPr>
            <w:r w:rsidRPr="02AFC879">
              <w:rPr>
                <w:sz w:val="20"/>
              </w:rPr>
              <w:t>Review work and proposals of team members</w:t>
            </w:r>
          </w:p>
        </w:tc>
      </w:tr>
      <w:tr w:rsidR="0002436B" w:rsidRPr="00C978B9" w14:paraId="661A5BBE" w14:textId="77777777" w:rsidTr="00867474">
        <w:trPr>
          <w:cantSplit/>
        </w:trPr>
        <w:tc>
          <w:tcPr>
            <w:tcW w:w="2694" w:type="dxa"/>
          </w:tcPr>
          <w:p w14:paraId="259680A9" w14:textId="77777777" w:rsidR="0002436B" w:rsidRPr="00A15CDB" w:rsidRDefault="00596C1A" w:rsidP="00A15CDB">
            <w:pPr>
              <w:pStyle w:val="TableText"/>
            </w:pPr>
            <w:r>
              <w:t>Customers / stakeholders</w:t>
            </w:r>
          </w:p>
        </w:tc>
        <w:tc>
          <w:tcPr>
            <w:tcW w:w="7853" w:type="dxa"/>
          </w:tcPr>
          <w:p w14:paraId="19D2AC7D" w14:textId="77777777" w:rsidR="00556B43" w:rsidRPr="009308D4" w:rsidRDefault="6C5AE7FB" w:rsidP="00641CB8">
            <w:pPr>
              <w:pStyle w:val="ListBullet"/>
              <w:rPr>
                <w:sz w:val="20"/>
                <w:lang w:eastAsia="en-AU"/>
              </w:rPr>
            </w:pPr>
            <w:r w:rsidRPr="02AFC879">
              <w:rPr>
                <w:sz w:val="20"/>
              </w:rPr>
              <w:t>Manage the flow of information, seek clarification and provide customer focused advice and responses to ensure prompt resolution of issues</w:t>
            </w:r>
          </w:p>
          <w:p w14:paraId="422FE9C3" w14:textId="77777777" w:rsidR="00556B43" w:rsidRPr="009308D4" w:rsidRDefault="6C5AE7FB" w:rsidP="00641CB8">
            <w:pPr>
              <w:pStyle w:val="ListBullet"/>
              <w:rPr>
                <w:sz w:val="20"/>
                <w:lang w:eastAsia="en-AU"/>
              </w:rPr>
            </w:pPr>
            <w:r w:rsidRPr="02AFC879">
              <w:rPr>
                <w:sz w:val="20"/>
              </w:rPr>
              <w:t>Articulate the needs and requirements of the service and collaborate with to negotiate solutions, provide expert customer focused advice and regular updates</w:t>
            </w:r>
          </w:p>
          <w:p w14:paraId="4327BA14" w14:textId="77777777" w:rsidR="00556B43" w:rsidRPr="009308D4" w:rsidRDefault="6C5AE7FB" w:rsidP="00641CB8">
            <w:pPr>
              <w:pStyle w:val="ListBullet"/>
              <w:rPr>
                <w:sz w:val="20"/>
                <w:lang w:eastAsia="en-AU"/>
              </w:rPr>
            </w:pPr>
            <w:r w:rsidRPr="02AFC879">
              <w:rPr>
                <w:sz w:val="20"/>
              </w:rPr>
              <w:t>Address/respond to queries to provide advice where possible, or redirect to relevant party for review and resolution</w:t>
            </w:r>
          </w:p>
        </w:tc>
      </w:tr>
    </w:tbl>
    <w:bookmarkEnd w:id="2"/>
    <w:p w14:paraId="1C3E76FF" w14:textId="39736D67" w:rsidR="00C34914" w:rsidRDefault="00C34914" w:rsidP="00714210">
      <w:pPr>
        <w:keepNext/>
        <w:keepLines/>
        <w:spacing w:before="360"/>
        <w:rPr>
          <w:b/>
          <w:bCs/>
        </w:rPr>
      </w:pPr>
      <w:r>
        <w:rPr>
          <w:b/>
          <w:bCs/>
        </w:rPr>
        <w:lastRenderedPageBreak/>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2694"/>
        <w:gridCol w:w="7853"/>
      </w:tblGrid>
      <w:tr w:rsidR="00C34914" w:rsidRPr="00C978B9" w14:paraId="47112619" w14:textId="77777777" w:rsidTr="00867474">
        <w:trPr>
          <w:cnfStyle w:val="100000000000" w:firstRow="1" w:lastRow="0" w:firstColumn="0" w:lastColumn="0" w:oddVBand="0" w:evenVBand="0" w:oddHBand="0" w:evenHBand="0" w:firstRowFirstColumn="0" w:firstRowLastColumn="0" w:lastRowFirstColumn="0" w:lastRowLastColumn="0"/>
          <w:cantSplit/>
          <w:trHeight w:val="277"/>
          <w:tblHeader/>
        </w:trPr>
        <w:tc>
          <w:tcPr>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367C87D" w14:textId="2C239775" w:rsidR="00157808" w:rsidRPr="00241196" w:rsidRDefault="00C34914" w:rsidP="00714210">
            <w:pPr>
              <w:pStyle w:val="TableTextWhite0"/>
              <w:keepNext/>
              <w:keepLines/>
              <w:rPr>
                <w:sz w:val="20"/>
              </w:rPr>
            </w:pPr>
            <w:r w:rsidRPr="00C978B9">
              <w:t>Who</w:t>
            </w:r>
          </w:p>
        </w:tc>
        <w:tc>
          <w:tcPr>
            <w:tcW w:w="785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F83318F" w14:textId="77777777" w:rsidR="00C34914" w:rsidRPr="00C978B9" w:rsidRDefault="00C34914" w:rsidP="00714210">
            <w:pPr>
              <w:pStyle w:val="TableTextWhite0"/>
              <w:keepNext/>
              <w:keepLines/>
            </w:pPr>
            <w:r w:rsidRPr="00C978B9">
              <w:t>Why</w:t>
            </w:r>
          </w:p>
        </w:tc>
      </w:tr>
      <w:tr w:rsidR="00C34914" w:rsidRPr="00C978B9" w14:paraId="7302EB66" w14:textId="77777777" w:rsidTr="00867474">
        <w:trPr>
          <w:cantSplit/>
        </w:trPr>
        <w:tc>
          <w:tcPr>
            <w:tcW w:w="2694" w:type="dxa"/>
          </w:tcPr>
          <w:p w14:paraId="77EF5D2D" w14:textId="2380B709" w:rsidR="00157808" w:rsidRPr="00652BC7" w:rsidRDefault="00596C1A" w:rsidP="00714210">
            <w:pPr>
              <w:pStyle w:val="TableText"/>
              <w:keepNext/>
              <w:keepLines/>
            </w:pPr>
            <w:bookmarkStart w:id="3" w:name="ExternalRelationships"/>
            <w:r>
              <w:t>Customers / stakeholders</w:t>
            </w:r>
          </w:p>
        </w:tc>
        <w:tc>
          <w:tcPr>
            <w:tcW w:w="7853" w:type="dxa"/>
          </w:tcPr>
          <w:p w14:paraId="34D68E38" w14:textId="77777777" w:rsidR="00556B43" w:rsidRPr="009308D4" w:rsidRDefault="6C5AE7FB" w:rsidP="00714210">
            <w:pPr>
              <w:pStyle w:val="ListBullet"/>
              <w:keepNext/>
              <w:keepLines/>
              <w:rPr>
                <w:sz w:val="20"/>
                <w:lang w:eastAsia="en-AU"/>
              </w:rPr>
            </w:pPr>
            <w:r w:rsidRPr="02AFC879">
              <w:rPr>
                <w:sz w:val="20"/>
              </w:rPr>
              <w:t>Respond and resolve queries, providing information and/or resources or redirect to the appropriate person or business unit if required</w:t>
            </w:r>
          </w:p>
          <w:p w14:paraId="261AD263" w14:textId="77777777" w:rsidR="00556B43" w:rsidRPr="009308D4" w:rsidRDefault="6C5AE7FB" w:rsidP="00714210">
            <w:pPr>
              <w:pStyle w:val="ListBullet"/>
              <w:keepNext/>
              <w:keepLines/>
              <w:rPr>
                <w:sz w:val="20"/>
                <w:lang w:eastAsia="en-AU"/>
              </w:rPr>
            </w:pPr>
            <w:r w:rsidRPr="02AFC879">
              <w:rPr>
                <w:sz w:val="20"/>
              </w:rPr>
              <w:t>Develop and maintain effective working relationships and open channels of communication to provide and obtain information, and ensure effective management and implementation of expectations and standards</w:t>
            </w:r>
          </w:p>
          <w:p w14:paraId="6E05E3D9" w14:textId="77777777" w:rsidR="00556B43" w:rsidRPr="009308D4" w:rsidRDefault="6C5AE7FB" w:rsidP="00714210">
            <w:pPr>
              <w:pStyle w:val="ListBullet"/>
              <w:keepNext/>
              <w:keepLines/>
              <w:rPr>
                <w:sz w:val="20"/>
                <w:lang w:eastAsia="en-AU"/>
              </w:rPr>
            </w:pPr>
            <w:r w:rsidRPr="02AFC879">
              <w:rPr>
                <w:sz w:val="20"/>
              </w:rPr>
              <w:t>Engage with, consult, seek clarification and provide customer focused advice and responses to ensure the prompt resolution of issues</w:t>
            </w:r>
          </w:p>
        </w:tc>
      </w:tr>
      <w:tr w:rsidR="00C34914" w:rsidRPr="00C978B9" w14:paraId="039A6D1D" w14:textId="77777777" w:rsidTr="00867474">
        <w:trPr>
          <w:cantSplit/>
        </w:trPr>
        <w:tc>
          <w:tcPr>
            <w:tcW w:w="2694" w:type="dxa"/>
          </w:tcPr>
          <w:p w14:paraId="520D93BA" w14:textId="6B75A95A" w:rsidR="00157808" w:rsidRPr="00652BC7" w:rsidRDefault="00596C1A" w:rsidP="00066D0D">
            <w:pPr>
              <w:pStyle w:val="TableText"/>
            </w:pPr>
            <w:r>
              <w:t>Industry professionals / Consultants</w:t>
            </w:r>
          </w:p>
        </w:tc>
        <w:tc>
          <w:tcPr>
            <w:tcW w:w="7853" w:type="dxa"/>
          </w:tcPr>
          <w:p w14:paraId="6DE92128" w14:textId="77777777" w:rsidR="00556B43" w:rsidRPr="009308D4" w:rsidRDefault="6C5AE7FB" w:rsidP="00641CB8">
            <w:pPr>
              <w:pStyle w:val="ListBullet"/>
              <w:rPr>
                <w:sz w:val="20"/>
                <w:lang w:eastAsia="en-AU"/>
              </w:rPr>
            </w:pPr>
            <w:r w:rsidRPr="02AFC879">
              <w:rPr>
                <w:sz w:val="20"/>
              </w:rPr>
              <w:t>Seek/maintain specialist knowledge/advice and collaborate on the implementation of organisation strategies, to keep abreast of best practice</w:t>
            </w:r>
          </w:p>
          <w:p w14:paraId="23A9EC86" w14:textId="77777777" w:rsidR="00556B43" w:rsidRPr="009308D4" w:rsidRDefault="6C5AE7FB" w:rsidP="00641CB8">
            <w:pPr>
              <w:pStyle w:val="ListBullet"/>
              <w:rPr>
                <w:sz w:val="20"/>
                <w:lang w:eastAsia="en-AU"/>
              </w:rPr>
            </w:pPr>
            <w:r w:rsidRPr="02AFC879">
              <w:rPr>
                <w:sz w:val="20"/>
              </w:rPr>
              <w:t>Collaborate with and seek/maintain specialist knowledge/advice</w:t>
            </w:r>
          </w:p>
          <w:p w14:paraId="48E3A739" w14:textId="77777777" w:rsidR="00556B43" w:rsidRPr="009308D4" w:rsidRDefault="6C5AE7FB" w:rsidP="00641CB8">
            <w:pPr>
              <w:pStyle w:val="ListBullet"/>
              <w:rPr>
                <w:sz w:val="20"/>
                <w:lang w:eastAsia="en-AU"/>
              </w:rPr>
            </w:pPr>
            <w:r w:rsidRPr="02AFC879">
              <w:rPr>
                <w:sz w:val="20"/>
              </w:rPr>
              <w:t>Participate in forums, groups to represent the agency and share information</w:t>
            </w:r>
          </w:p>
          <w:p w14:paraId="609307AD" w14:textId="77777777" w:rsidR="00556B43" w:rsidRPr="009308D4" w:rsidRDefault="6C5AE7FB" w:rsidP="00641CB8">
            <w:pPr>
              <w:pStyle w:val="ListBullet"/>
              <w:rPr>
                <w:sz w:val="20"/>
                <w:lang w:eastAsia="en-AU"/>
              </w:rPr>
            </w:pPr>
            <w:r w:rsidRPr="02AFC879">
              <w:rPr>
                <w:sz w:val="20"/>
              </w:rPr>
              <w:t>Participate in discussions regarding innovation and best practice</w:t>
            </w:r>
          </w:p>
        </w:tc>
      </w:tr>
      <w:tr w:rsidR="00C34914" w:rsidRPr="00C978B9" w14:paraId="3022B870" w14:textId="77777777" w:rsidTr="00867474">
        <w:trPr>
          <w:cantSplit/>
        </w:trPr>
        <w:tc>
          <w:tcPr>
            <w:tcW w:w="2694" w:type="dxa"/>
          </w:tcPr>
          <w:p w14:paraId="5658AF46" w14:textId="323A1477" w:rsidR="00157808" w:rsidRPr="00652BC7" w:rsidRDefault="00596C1A" w:rsidP="00066D0D">
            <w:pPr>
              <w:pStyle w:val="TableText"/>
            </w:pPr>
            <w:r>
              <w:t>Vendors / Service Providers</w:t>
            </w:r>
          </w:p>
        </w:tc>
        <w:tc>
          <w:tcPr>
            <w:tcW w:w="7853" w:type="dxa"/>
          </w:tcPr>
          <w:p w14:paraId="2349040C" w14:textId="77777777" w:rsidR="00556B43" w:rsidRPr="009308D4" w:rsidRDefault="6C5AE7FB" w:rsidP="00641CB8">
            <w:pPr>
              <w:pStyle w:val="ListBullet"/>
              <w:rPr>
                <w:sz w:val="20"/>
                <w:lang w:eastAsia="en-AU"/>
              </w:rPr>
            </w:pPr>
            <w:r w:rsidRPr="02AFC879">
              <w:rPr>
                <w:sz w:val="20"/>
              </w:rPr>
              <w:t>Develop and maintain effective working relationships</w:t>
            </w:r>
          </w:p>
          <w:p w14:paraId="432CFE40" w14:textId="77777777" w:rsidR="00556B43" w:rsidRPr="009308D4" w:rsidRDefault="6C5AE7FB" w:rsidP="00641CB8">
            <w:pPr>
              <w:pStyle w:val="ListBullet"/>
              <w:rPr>
                <w:sz w:val="20"/>
                <w:lang w:eastAsia="en-AU"/>
              </w:rPr>
            </w:pPr>
            <w:r w:rsidRPr="02AFC879">
              <w:rPr>
                <w:sz w:val="20"/>
              </w:rPr>
              <w:t>Monitor provision of service to ensure compliance with contracts and service arrangements</w:t>
            </w:r>
          </w:p>
        </w:tc>
      </w:tr>
    </w:tbl>
    <w:bookmarkEnd w:id="3"/>
    <w:p w14:paraId="3F0A7CB3" w14:textId="77777777" w:rsidR="00057CB3" w:rsidRPr="00C978B9" w:rsidRDefault="0002436B" w:rsidP="000C453F">
      <w:pPr>
        <w:pStyle w:val="Heading2"/>
      </w:pPr>
      <w:r w:rsidRPr="00C978B9">
        <w:t xml:space="preserve">Role </w:t>
      </w:r>
      <w:r w:rsidR="00043B92">
        <w:t>d</w:t>
      </w:r>
      <w:r w:rsidRPr="00C978B9">
        <w:t>imensions</w:t>
      </w:r>
    </w:p>
    <w:p w14:paraId="105EBAF8" w14:textId="77777777" w:rsidR="0002436B" w:rsidRDefault="001D133A" w:rsidP="000C453F">
      <w:pPr>
        <w:pStyle w:val="Heading3"/>
      </w:pPr>
      <w:r w:rsidRPr="00C978B9">
        <w:t>Decision making</w:t>
      </w:r>
    </w:p>
    <w:p w14:paraId="505D08AF" w14:textId="77777777" w:rsidR="009308D4" w:rsidRPr="009308D4" w:rsidRDefault="0BC379CB" w:rsidP="009308D4">
      <w:pPr>
        <w:pStyle w:val="ListBullet"/>
        <w:rPr>
          <w:rFonts w:cs="Arial"/>
          <w:szCs w:val="22"/>
        </w:rPr>
      </w:pPr>
      <w:bookmarkStart w:id="4" w:name="_Hlk17372642"/>
      <w:r>
        <w:t xml:space="preserve">This role has autonomy and makes decisions that are under their direct control as directed by their </w:t>
      </w:r>
      <w:proofErr w:type="gramStart"/>
      <w:r>
        <w:t>Manager</w:t>
      </w:r>
      <w:proofErr w:type="gramEnd"/>
      <w:r>
        <w:t>. It refers decisions that require significant change to program outcomes or timeframes or are likely to escalate or require submission to a higher level of management to their manager.</w:t>
      </w:r>
    </w:p>
    <w:p w14:paraId="68C6FC0E" w14:textId="77777777" w:rsidR="009308D4" w:rsidRPr="009308D4" w:rsidRDefault="0BC379CB" w:rsidP="009308D4">
      <w:pPr>
        <w:pStyle w:val="ListBullet"/>
        <w:rPr>
          <w:rFonts w:cs="Arial"/>
          <w:szCs w:val="22"/>
        </w:rPr>
      </w:pPr>
      <w:r>
        <w:t>This role is fully accountable for the delivery of work assignments on time and to expectations in terms of quality, deliverables and outcomes.</w:t>
      </w:r>
    </w:p>
    <w:p w14:paraId="1D376AB4" w14:textId="34C09927" w:rsidR="00BD7587" w:rsidRPr="007523A5" w:rsidRDefault="0BC379CB" w:rsidP="009308D4">
      <w:pPr>
        <w:pStyle w:val="ListBullet"/>
        <w:rPr>
          <w:rFonts w:cs="Arial"/>
          <w:szCs w:val="22"/>
        </w:rPr>
      </w:pPr>
      <w:r>
        <w:t>This role submits reports, business cases and other forms of written advice with minimal input from the manager.</w:t>
      </w:r>
    </w:p>
    <w:bookmarkEnd w:id="4"/>
    <w:p w14:paraId="72052E1D" w14:textId="77777777" w:rsidR="001D133A" w:rsidRDefault="001D133A" w:rsidP="000C453F">
      <w:pPr>
        <w:pStyle w:val="Heading3"/>
      </w:pPr>
      <w:r w:rsidRPr="00C978B9">
        <w:t>Reporting line</w:t>
      </w:r>
    </w:p>
    <w:p w14:paraId="39DB89F3" w14:textId="0A9D73FD" w:rsidR="009D36AB" w:rsidRPr="00241196" w:rsidRDefault="009D36AB" w:rsidP="009D36AB">
      <w:pPr>
        <w:rPr>
          <w:rFonts w:cs="Arial"/>
          <w:szCs w:val="26"/>
        </w:rPr>
      </w:pPr>
      <w:r w:rsidRPr="00154ACF">
        <w:rPr>
          <w:rFonts w:cs="Arial"/>
          <w:szCs w:val="26"/>
        </w:rPr>
        <w:t xml:space="preserve">The role reports to </w:t>
      </w:r>
      <w:r w:rsidRPr="00241196">
        <w:rPr>
          <w:rFonts w:cs="Arial"/>
          <w:szCs w:val="26"/>
        </w:rPr>
        <w:t xml:space="preserve">the </w:t>
      </w:r>
      <w:r w:rsidR="00867474" w:rsidRPr="00867474">
        <w:rPr>
          <w:rFonts w:cs="Arial"/>
          <w:szCs w:val="26"/>
        </w:rPr>
        <w:t>Director, Data, Spatial and Information Services</w:t>
      </w:r>
      <w:r w:rsidR="00867474">
        <w:rPr>
          <w:rFonts w:cs="Arial"/>
          <w:szCs w:val="26"/>
        </w:rPr>
        <w:t>.</w:t>
      </w:r>
    </w:p>
    <w:p w14:paraId="2E621C46" w14:textId="77777777" w:rsidR="001D133A" w:rsidRDefault="001D133A" w:rsidP="000C453F">
      <w:pPr>
        <w:pStyle w:val="Heading3"/>
      </w:pPr>
      <w:r w:rsidRPr="00C978B9">
        <w:t>Direct reports</w:t>
      </w:r>
    </w:p>
    <w:p w14:paraId="749B1D6F" w14:textId="48E11058" w:rsidR="007E5048" w:rsidRPr="007E5048" w:rsidRDefault="00A17A94">
      <w:r>
        <w:t>Up to</w:t>
      </w:r>
      <w:r w:rsidR="007E5048" w:rsidRPr="007E5048">
        <w:t xml:space="preserve"> </w:t>
      </w:r>
      <w:r w:rsidR="00867474">
        <w:t>10</w:t>
      </w:r>
      <w:r w:rsidR="007E5048" w:rsidRPr="007E5048">
        <w:t xml:space="preserve"> direct reports</w:t>
      </w:r>
    </w:p>
    <w:p w14:paraId="24E27A41" w14:textId="77777777" w:rsidR="001D133A" w:rsidRDefault="001D133A" w:rsidP="000C453F">
      <w:pPr>
        <w:pStyle w:val="Heading3"/>
      </w:pPr>
      <w:r w:rsidRPr="00C978B9">
        <w:t>Budget/Expenditure</w:t>
      </w:r>
    </w:p>
    <w:p w14:paraId="1F78C377" w14:textId="77777777" w:rsidR="005505E4" w:rsidRDefault="00A55204" w:rsidP="005505E4">
      <w:r>
        <w:t>TBA</w:t>
      </w:r>
    </w:p>
    <w:p w14:paraId="76EF7A61"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6A5DD71E" w14:textId="06ED10EB" w:rsidR="00521832" w:rsidRDefault="00521832" w:rsidP="00521832">
      <w:pPr>
        <w:pStyle w:val="ListBullet"/>
      </w:pPr>
      <w:r>
        <w:t>Experience in managing the selection, acquisition and description of complex digital information resources, in a library or archival environment.</w:t>
      </w:r>
    </w:p>
    <w:p w14:paraId="62B209BA" w14:textId="1A9AE258" w:rsidR="003012C1" w:rsidRDefault="003012C1" w:rsidP="003012C1">
      <w:pPr>
        <w:pStyle w:val="ListBullet"/>
      </w:pPr>
      <w:r>
        <w:t>Experience in negotiating, implementing and managing high value and complex contracts for multiple digital information platforms</w:t>
      </w:r>
    </w:p>
    <w:p w14:paraId="63CC3CD9" w14:textId="39296B70" w:rsidR="00CC3257" w:rsidRDefault="00521832" w:rsidP="00641CB8">
      <w:pPr>
        <w:pStyle w:val="ListBullet"/>
        <w:rPr>
          <w:lang w:eastAsia="en-AU"/>
        </w:rPr>
      </w:pPr>
      <w:r>
        <w:t>Experience in complex procurement processes and budget management</w:t>
      </w:r>
      <w:r w:rsidDel="00521832">
        <w:t xml:space="preserve"> </w:t>
      </w:r>
      <w:r w:rsidR="00EF4D1F">
        <w:t>Experienc</w:t>
      </w:r>
      <w:r>
        <w:t>e</w:t>
      </w:r>
      <w:r w:rsidR="00EF4D1F">
        <w:t xml:space="preserve"> in managing</w:t>
      </w:r>
      <w:r w:rsidR="00090399">
        <w:t xml:space="preserve"> </w:t>
      </w:r>
      <w:r w:rsidR="00CC3257">
        <w:t>a</w:t>
      </w:r>
      <w:r w:rsidR="00090399">
        <w:t xml:space="preserve"> dispersed team that delivers complex services across multiple sites.</w:t>
      </w:r>
    </w:p>
    <w:p w14:paraId="5C36C662" w14:textId="0BB63A55" w:rsidR="00556B43" w:rsidRDefault="00CC3257" w:rsidP="00867474">
      <w:pPr>
        <w:pStyle w:val="ListBullet"/>
      </w:pPr>
      <w:r>
        <w:t>Experience in strategic planning to ensure services and resources align with departmental objectives</w:t>
      </w:r>
    </w:p>
    <w:p w14:paraId="303069A4" w14:textId="77777777" w:rsidR="00521832" w:rsidRDefault="00521832" w:rsidP="00521832">
      <w:pPr>
        <w:pStyle w:val="ListBullet"/>
        <w:rPr>
          <w:rFonts w:ascii="Aptos" w:hAnsi="Aptos"/>
          <w:sz w:val="24"/>
        </w:rPr>
      </w:pPr>
      <w:r>
        <w:t>Experience in assessing print-based archival material for digitisation and accessibility</w:t>
      </w:r>
    </w:p>
    <w:p w14:paraId="2F20ED4C" w14:textId="77777777" w:rsidR="00521832" w:rsidRDefault="00521832" w:rsidP="003A081E">
      <w:pPr>
        <w:pStyle w:val="ListBullet"/>
        <w:numPr>
          <w:ilvl w:val="0"/>
          <w:numId w:val="0"/>
        </w:numPr>
        <w:ind w:left="360"/>
      </w:pPr>
    </w:p>
    <w:bookmarkEnd w:id="5"/>
    <w:p w14:paraId="3C659437" w14:textId="77777777" w:rsidR="001D133A" w:rsidRDefault="001D133A" w:rsidP="000C453F">
      <w:pPr>
        <w:pStyle w:val="Heading2"/>
      </w:pPr>
      <w:r w:rsidRPr="00C978B9">
        <w:lastRenderedPageBreak/>
        <w:t>Essential requir</w:t>
      </w:r>
      <w:r w:rsidR="00E31CD3" w:rsidRPr="00C978B9">
        <w:t>e</w:t>
      </w:r>
      <w:r w:rsidRPr="00C978B9">
        <w:t>ments</w:t>
      </w:r>
    </w:p>
    <w:p w14:paraId="14796C3A" w14:textId="731D5CAF" w:rsidR="003F13D8" w:rsidRDefault="00BF659E" w:rsidP="00867474">
      <w:pPr>
        <w:pStyle w:val="ListBullet"/>
      </w:pPr>
      <w:r w:rsidRPr="005B21D3">
        <w:t>Qualifications acceptable for professional membership of the Australian Library and Information Association (ALIA), Australian Society of Archivists (ASA) or other co</w:t>
      </w:r>
      <w:r>
        <w:t xml:space="preserve">mbination of qualifications and/or </w:t>
      </w:r>
      <w:r w:rsidRPr="005B21D3">
        <w:t>experience deemed by the State Librarian to be equivalent that meets the minimum standard of skill and knowledge inherent in the ALIA standard.</w:t>
      </w:r>
    </w:p>
    <w:p w14:paraId="65E8D0EB" w14:textId="77777777" w:rsidR="003F13D8" w:rsidRPr="003F13D8" w:rsidRDefault="003F13D8" w:rsidP="003F13D8">
      <w:pPr>
        <w:keepNext/>
        <w:spacing w:before="360" w:after="120"/>
        <w:outlineLvl w:val="1"/>
        <w:rPr>
          <w:rFonts w:eastAsia="Calibri" w:cs="Arial"/>
          <w:b/>
          <w:bCs/>
          <w:iCs/>
          <w:sz w:val="26"/>
          <w:szCs w:val="28"/>
        </w:rPr>
      </w:pPr>
      <w:r w:rsidRPr="003F13D8">
        <w:rPr>
          <w:rFonts w:eastAsia="Calibri" w:cs="Arial"/>
          <w:b/>
          <w:bCs/>
          <w:iCs/>
          <w:sz w:val="26"/>
          <w:szCs w:val="28"/>
        </w:rPr>
        <w:t>Cyber Security</w:t>
      </w:r>
    </w:p>
    <w:p w14:paraId="2FA3A40F" w14:textId="77777777" w:rsidR="003F13D8" w:rsidRPr="003F13D8" w:rsidRDefault="003F13D8" w:rsidP="003F13D8">
      <w:pPr>
        <w:spacing w:after="0" w:line="280" w:lineRule="atLeast"/>
        <w:rPr>
          <w:rFonts w:eastAsia="Calibri"/>
        </w:rPr>
      </w:pPr>
      <w:r w:rsidRPr="003F13D8">
        <w:rPr>
          <w:rFonts w:eastAsia="Calibri"/>
        </w:rPr>
        <w:t>Cyber security forms an integral part of every employee’s role description and responsibilities. Individuals such as those with privileged access, application developers, risk owners, and system and application owners have additional responsibilities in securing the Department’s digital resources. As part of your role, you will be expected to undertake cyber security related activities to help contribute to the Department’s overall security posture.</w:t>
      </w:r>
    </w:p>
    <w:p w14:paraId="669B979C" w14:textId="77777777" w:rsidR="009E0B71" w:rsidRPr="00C978B9" w:rsidRDefault="009E0B71" w:rsidP="000C453F">
      <w:pPr>
        <w:pStyle w:val="Heading2"/>
      </w:pPr>
      <w:bookmarkStart w:id="6" w:name="_Hlk36203683"/>
      <w:bookmarkStart w:id="7" w:name="_Hlk36565316"/>
      <w:bookmarkStart w:id="8" w:name="_Hlk36209343"/>
      <w:bookmarkStart w:id="9" w:name="_Hlk36710441"/>
      <w:bookmarkStart w:id="10" w:name="_Hlk36722467"/>
      <w:bookmarkStart w:id="11" w:name="_Hlk40182787"/>
      <w:bookmarkStart w:id="12" w:name="_Hlk17375576"/>
      <w:bookmarkStart w:id="13" w:name="_Hlk36397202"/>
      <w:r w:rsidRPr="00C978B9">
        <w:t>Capabilities for the role</w:t>
      </w:r>
    </w:p>
    <w:p w14:paraId="721C56A5" w14:textId="4CECDD15" w:rsidR="003E0111" w:rsidRPr="003C7A36" w:rsidRDefault="009E0B71" w:rsidP="006A1D4E">
      <w:pPr>
        <w:spacing w:line="280" w:lineRule="atLeast"/>
      </w:pPr>
      <w:r w:rsidRPr="001D6997">
        <w:rPr>
          <w:szCs w:val="22"/>
        </w:rPr>
        <w:t xml:space="preserve">The </w:t>
      </w:r>
      <w:hyperlink r:id="rId13" w:history="1">
        <w:r w:rsidRPr="001D6997">
          <w:rPr>
            <w:rStyle w:val="Hyperlink"/>
            <w:sz w:val="22"/>
            <w:szCs w:val="22"/>
          </w:rPr>
          <w:t>NSW public sector capability framework</w:t>
        </w:r>
      </w:hyperlink>
      <w:r w:rsidRPr="001D6997">
        <w:rPr>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w:t>
      </w:r>
      <w:r>
        <w:t xml:space="preserve"> work together to provide an </w:t>
      </w:r>
      <w:r w:rsidRPr="00175AAF">
        <w:t>understanding of the capabilities needed for the role.</w:t>
      </w:r>
      <w:r w:rsidR="001D6997">
        <w:t xml:space="preserve"> </w:t>
      </w:r>
      <w:r w:rsidRPr="003E0111">
        <w:t>The capabilities are separated into focus capabilities and complementary capabilities</w:t>
      </w:r>
    </w:p>
    <w:p w14:paraId="4434E0C4" w14:textId="2F2D3A0C" w:rsidR="009E0B71" w:rsidRPr="00C978B9" w:rsidRDefault="009E0B71" w:rsidP="000C453F">
      <w:pPr>
        <w:pStyle w:val="Heading2"/>
      </w:pPr>
      <w:r w:rsidRPr="00C978B9">
        <w:t xml:space="preserve">Focus </w:t>
      </w:r>
      <w:r>
        <w:t>c</w:t>
      </w:r>
      <w:r w:rsidRPr="00C978B9">
        <w:t>apabilities</w:t>
      </w:r>
    </w:p>
    <w:p w14:paraId="3B9F9D8A" w14:textId="77777777" w:rsidR="009E0B71" w:rsidRPr="006A1D4E" w:rsidRDefault="009E0B71" w:rsidP="009E0B71">
      <w:pPr>
        <w:pStyle w:val="PlainText"/>
        <w:spacing w:before="62" w:line="276" w:lineRule="auto"/>
        <w:rPr>
          <w:rFonts w:eastAsiaTheme="minorEastAsia" w:cs="Arial"/>
          <w:sz w:val="22"/>
          <w:szCs w:val="22"/>
          <w:lang w:val="en-US"/>
        </w:rPr>
      </w:pPr>
      <w:r w:rsidRPr="006A1D4E">
        <w:rPr>
          <w:rFonts w:eastAsiaTheme="minorEastAsia" w:cs="Arial"/>
          <w:i/>
          <w:sz w:val="22"/>
          <w:szCs w:val="22"/>
          <w:lang w:val="en-US"/>
        </w:rPr>
        <w:t>Focus capabilities</w:t>
      </w:r>
      <w:r w:rsidRPr="006A1D4E">
        <w:rPr>
          <w:rFonts w:eastAsiaTheme="minorEastAsia" w:cs="Arial"/>
          <w:sz w:val="22"/>
          <w:szCs w:val="22"/>
          <w:lang w:val="en-US"/>
        </w:rPr>
        <w:t xml:space="preserve"> are the capabilities considered the most important for effective performance of the role. These capabilities will be assessed at recruitment. </w:t>
      </w:r>
    </w:p>
    <w:p w14:paraId="3913AE2C" w14:textId="48798987" w:rsidR="02AFC879" w:rsidRPr="006A1D4E" w:rsidRDefault="6ECCA7C7" w:rsidP="02AFC879">
      <w:pPr>
        <w:pStyle w:val="PlainText"/>
        <w:spacing w:before="62" w:line="276" w:lineRule="auto"/>
        <w:rPr>
          <w:rFonts w:eastAsiaTheme="minorEastAsia" w:cs="Arial"/>
          <w:sz w:val="22"/>
          <w:szCs w:val="22"/>
          <w:lang w:val="en-US"/>
        </w:rPr>
      </w:pPr>
      <w:r w:rsidRPr="006A1D4E">
        <w:rPr>
          <w:rFonts w:eastAsiaTheme="minorEastAsia" w:cs="Arial"/>
          <w:sz w:val="22"/>
          <w:szCs w:val="22"/>
          <w:lang w:val="en-US"/>
        </w:rPr>
        <w:t xml:space="preserve">The focus capabilities for this role are shown below with a brief explanation of what each capability covers and the indicators describing the types of </w:t>
      </w:r>
      <w:proofErr w:type="spellStart"/>
      <w:r w:rsidRPr="006A1D4E">
        <w:rPr>
          <w:rFonts w:eastAsiaTheme="minorEastAsia" w:cs="Arial"/>
          <w:sz w:val="22"/>
          <w:szCs w:val="22"/>
          <w:lang w:val="en-US"/>
        </w:rPr>
        <w:t>behaviours</w:t>
      </w:r>
      <w:proofErr w:type="spellEnd"/>
      <w:r w:rsidRPr="006A1D4E">
        <w:rPr>
          <w:rFonts w:eastAsiaTheme="minorEastAsia" w:cs="Arial"/>
          <w:sz w:val="22"/>
          <w:szCs w:val="22"/>
          <w:lang w:val="en-US"/>
        </w:rPr>
        <w:t xml:space="preserve"> expected at each level.</w:t>
      </w:r>
      <w:bookmarkEnd w:id="6"/>
      <w:bookmarkEnd w:id="7"/>
      <w:bookmarkEnd w:id="8"/>
      <w:bookmarkEnd w:id="9"/>
      <w:bookmarkEnd w:id="10"/>
      <w:bookmarkEnd w:id="11"/>
      <w:bookmarkEnd w:id="12"/>
      <w:bookmarkEnd w:id="13"/>
    </w:p>
    <w:tbl>
      <w:tblPr>
        <w:tblStyle w:val="TableGrid"/>
        <w:tblW w:w="0" w:type="auto"/>
        <w:tblLayout w:type="fixed"/>
        <w:tblLook w:val="04A0" w:firstRow="1" w:lastRow="0" w:firstColumn="1" w:lastColumn="0" w:noHBand="0" w:noVBand="1"/>
      </w:tblPr>
      <w:tblGrid>
        <w:gridCol w:w="1380"/>
        <w:gridCol w:w="2715"/>
        <w:gridCol w:w="4695"/>
        <w:gridCol w:w="1665"/>
      </w:tblGrid>
      <w:tr w:rsidR="02AFC879" w14:paraId="02FECE2A" w14:textId="77777777" w:rsidTr="003F13D8">
        <w:trPr>
          <w:cnfStyle w:val="100000000000" w:firstRow="1" w:lastRow="0" w:firstColumn="0" w:lastColumn="0" w:oddVBand="0" w:evenVBand="0" w:oddHBand="0" w:evenHBand="0" w:firstRowFirstColumn="0" w:firstRowLastColumn="0" w:lastRowFirstColumn="0" w:lastRowLastColumn="0"/>
          <w:cantSplit/>
          <w:trHeight w:val="300"/>
          <w:tblHeader/>
        </w:trPr>
        <w:tc>
          <w:tcPr>
            <w:tcW w:w="1380" w:type="dxa"/>
            <w:tcBorders>
              <w:top w:val="single" w:sz="6" w:space="0" w:color="auto"/>
              <w:left w:val="nil"/>
              <w:bottom w:val="single" w:sz="6" w:space="0" w:color="auto"/>
              <w:right w:val="nil"/>
            </w:tcBorders>
            <w:shd w:val="clear" w:color="auto" w:fill="BFBFBF" w:themeFill="background1" w:themeFillShade="BF"/>
            <w:tcMar>
              <w:top w:w="15" w:type="dxa"/>
              <w:left w:w="15" w:type="dxa"/>
              <w:bottom w:w="15" w:type="dxa"/>
              <w:right w:w="15" w:type="dxa"/>
            </w:tcMar>
            <w:vAlign w:val="center"/>
          </w:tcPr>
          <w:p w14:paraId="433AA33E" w14:textId="29AF2D7A" w:rsidR="02AFC879" w:rsidRDefault="02AFC879" w:rsidP="02AFC879">
            <w:pPr>
              <w:rPr>
                <w:rFonts w:eastAsia="Arial" w:cs="Arial"/>
                <w:sz w:val="20"/>
              </w:rPr>
            </w:pPr>
            <w:r w:rsidRPr="02AFC879">
              <w:rPr>
                <w:rFonts w:eastAsia="Arial" w:cs="Arial"/>
                <w:b/>
                <w:bCs/>
                <w:sz w:val="20"/>
              </w:rPr>
              <w:t>Capability group/sets</w:t>
            </w:r>
          </w:p>
        </w:tc>
        <w:tc>
          <w:tcPr>
            <w:tcW w:w="2715" w:type="dxa"/>
            <w:tcBorders>
              <w:top w:val="single" w:sz="6" w:space="0" w:color="auto"/>
              <w:left w:val="nil"/>
              <w:bottom w:val="single" w:sz="6" w:space="0" w:color="auto"/>
              <w:right w:val="nil"/>
            </w:tcBorders>
            <w:shd w:val="clear" w:color="auto" w:fill="BFBFBF" w:themeFill="background1" w:themeFillShade="BF"/>
            <w:tcMar>
              <w:top w:w="15" w:type="dxa"/>
              <w:left w:w="15" w:type="dxa"/>
              <w:bottom w:w="15" w:type="dxa"/>
              <w:right w:w="15" w:type="dxa"/>
            </w:tcMar>
          </w:tcPr>
          <w:p w14:paraId="35A207B9" w14:textId="5E0FB36E" w:rsidR="02AFC879" w:rsidRDefault="02AFC879" w:rsidP="02AFC879">
            <w:pPr>
              <w:rPr>
                <w:rFonts w:eastAsia="Arial" w:cs="Arial"/>
                <w:sz w:val="20"/>
              </w:rPr>
            </w:pPr>
            <w:r w:rsidRPr="02AFC879">
              <w:rPr>
                <w:rFonts w:eastAsia="Arial" w:cs="Arial"/>
                <w:b/>
                <w:bCs/>
                <w:sz w:val="20"/>
              </w:rPr>
              <w:t>Capability name</w:t>
            </w:r>
          </w:p>
        </w:tc>
        <w:tc>
          <w:tcPr>
            <w:tcW w:w="4695" w:type="dxa"/>
            <w:tcBorders>
              <w:top w:val="single" w:sz="6" w:space="0" w:color="auto"/>
              <w:left w:val="nil"/>
              <w:bottom w:val="single" w:sz="6" w:space="0" w:color="auto"/>
              <w:right w:val="nil"/>
            </w:tcBorders>
            <w:shd w:val="clear" w:color="auto" w:fill="BFBFBF" w:themeFill="background1" w:themeFillShade="BF"/>
            <w:tcMar>
              <w:top w:w="15" w:type="dxa"/>
              <w:left w:w="15" w:type="dxa"/>
              <w:bottom w:w="15" w:type="dxa"/>
              <w:right w:w="15" w:type="dxa"/>
            </w:tcMar>
          </w:tcPr>
          <w:p w14:paraId="6D7B4442" w14:textId="32674681" w:rsidR="02AFC879" w:rsidRDefault="02AFC879" w:rsidP="02AFC879">
            <w:pPr>
              <w:rPr>
                <w:rFonts w:eastAsia="Arial" w:cs="Arial"/>
                <w:sz w:val="20"/>
              </w:rPr>
            </w:pPr>
            <w:r w:rsidRPr="02AFC879">
              <w:rPr>
                <w:rFonts w:eastAsia="Arial" w:cs="Arial"/>
                <w:b/>
                <w:bCs/>
                <w:sz w:val="20"/>
              </w:rPr>
              <w:t>Behavioural indicators</w:t>
            </w:r>
          </w:p>
        </w:tc>
        <w:tc>
          <w:tcPr>
            <w:tcW w:w="1665" w:type="dxa"/>
            <w:tcBorders>
              <w:top w:val="single" w:sz="6" w:space="0" w:color="auto"/>
              <w:left w:val="nil"/>
              <w:bottom w:val="single" w:sz="6" w:space="0" w:color="auto"/>
              <w:right w:val="nil"/>
            </w:tcBorders>
            <w:shd w:val="clear" w:color="auto" w:fill="BFBFBF" w:themeFill="background1" w:themeFillShade="BF"/>
            <w:tcMar>
              <w:top w:w="15" w:type="dxa"/>
              <w:left w:w="15" w:type="dxa"/>
              <w:bottom w:w="15" w:type="dxa"/>
              <w:right w:w="15" w:type="dxa"/>
            </w:tcMar>
          </w:tcPr>
          <w:p w14:paraId="1E2A7B07" w14:textId="6E13AA3B" w:rsidR="02AFC879" w:rsidRDefault="02AFC879" w:rsidP="02AFC879">
            <w:pPr>
              <w:rPr>
                <w:rFonts w:eastAsia="Arial" w:cs="Arial"/>
                <w:sz w:val="20"/>
              </w:rPr>
            </w:pPr>
            <w:r w:rsidRPr="02AFC879">
              <w:rPr>
                <w:rFonts w:eastAsia="Arial" w:cs="Arial"/>
                <w:b/>
                <w:bCs/>
                <w:sz w:val="20"/>
              </w:rPr>
              <w:t>Level</w:t>
            </w:r>
          </w:p>
        </w:tc>
      </w:tr>
      <w:tr w:rsidR="02AFC879" w14:paraId="6B58935D" w14:textId="77777777" w:rsidTr="003F13D8">
        <w:trPr>
          <w:cantSplit/>
          <w:trHeight w:val="300"/>
        </w:trPr>
        <w:tc>
          <w:tcPr>
            <w:tcW w:w="1380" w:type="dxa"/>
            <w:tcBorders>
              <w:top w:val="single" w:sz="6" w:space="0" w:color="auto"/>
              <w:left w:val="nil"/>
              <w:bottom w:val="single" w:sz="6" w:space="0" w:color="auto"/>
              <w:right w:val="nil"/>
            </w:tcBorders>
            <w:tcMar>
              <w:top w:w="15" w:type="dxa"/>
              <w:left w:w="15" w:type="dxa"/>
              <w:bottom w:w="15" w:type="dxa"/>
              <w:right w:w="15" w:type="dxa"/>
            </w:tcMar>
          </w:tcPr>
          <w:p w14:paraId="055FD066" w14:textId="339FD20F" w:rsidR="02AFC879" w:rsidRDefault="02AFC879" w:rsidP="02AFC879">
            <w:pPr>
              <w:jc w:val="center"/>
              <w:rPr>
                <w:rFonts w:eastAsia="Arial" w:cs="Arial"/>
                <w:sz w:val="20"/>
              </w:rPr>
            </w:pPr>
            <w:r>
              <w:rPr>
                <w:noProof/>
              </w:rPr>
              <w:drawing>
                <wp:inline distT="0" distB="0" distL="0" distR="0" wp14:anchorId="7ACA3F37" wp14:editId="022D9FA9">
                  <wp:extent cx="742950" cy="742950"/>
                  <wp:effectExtent l="0" t="0" r="0" b="0"/>
                  <wp:docPr id="273743816" name="Picture 273743816"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2715" w:type="dxa"/>
            <w:tcBorders>
              <w:top w:val="single" w:sz="6" w:space="0" w:color="auto"/>
              <w:left w:val="nil"/>
              <w:bottom w:val="single" w:sz="6" w:space="0" w:color="auto"/>
              <w:right w:val="nil"/>
            </w:tcBorders>
            <w:tcMar>
              <w:top w:w="15" w:type="dxa"/>
              <w:left w:w="15" w:type="dxa"/>
              <w:bottom w:w="15" w:type="dxa"/>
              <w:right w:w="15" w:type="dxa"/>
            </w:tcMar>
          </w:tcPr>
          <w:p w14:paraId="3BAC368C" w14:textId="747F00EC" w:rsidR="02AFC879" w:rsidRDefault="02AFC879" w:rsidP="02AFC879">
            <w:pPr>
              <w:rPr>
                <w:rFonts w:eastAsia="Arial" w:cs="Arial"/>
                <w:color w:val="000000" w:themeColor="text1"/>
                <w:sz w:val="20"/>
              </w:rPr>
            </w:pPr>
            <w:r w:rsidRPr="02AFC879">
              <w:rPr>
                <w:rFonts w:eastAsia="Arial" w:cs="Arial"/>
                <w:b/>
                <w:bCs/>
                <w:color w:val="000000" w:themeColor="text1"/>
                <w:sz w:val="20"/>
              </w:rPr>
              <w:t>Act with Integrity</w:t>
            </w:r>
          </w:p>
          <w:p w14:paraId="4C83665A" w14:textId="24C5473D" w:rsidR="02AFC879" w:rsidRDefault="02AFC879" w:rsidP="02AFC879">
            <w:pPr>
              <w:rPr>
                <w:rFonts w:eastAsia="Arial" w:cs="Arial"/>
                <w:color w:val="000000" w:themeColor="text1"/>
                <w:sz w:val="20"/>
              </w:rPr>
            </w:pPr>
            <w:r w:rsidRPr="02AFC879">
              <w:rPr>
                <w:rFonts w:eastAsia="Arial" w:cs="Arial"/>
                <w:color w:val="000000" w:themeColor="text1"/>
                <w:sz w:val="20"/>
              </w:rPr>
              <w:t>Be ethical and professional, and uphold and promote the public sector values</w:t>
            </w:r>
          </w:p>
        </w:tc>
        <w:tc>
          <w:tcPr>
            <w:tcW w:w="4695" w:type="dxa"/>
            <w:tcBorders>
              <w:top w:val="single" w:sz="6" w:space="0" w:color="auto"/>
              <w:left w:val="nil"/>
              <w:bottom w:val="single" w:sz="6" w:space="0" w:color="auto"/>
              <w:right w:val="nil"/>
            </w:tcBorders>
            <w:tcMar>
              <w:top w:w="15" w:type="dxa"/>
              <w:left w:w="15" w:type="dxa"/>
              <w:bottom w:w="15" w:type="dxa"/>
              <w:right w:w="15" w:type="dxa"/>
            </w:tcMar>
          </w:tcPr>
          <w:p w14:paraId="30833128" w14:textId="77777777" w:rsidR="007273AA" w:rsidRDefault="007273AA" w:rsidP="02AFC879">
            <w:pPr>
              <w:pStyle w:val="TableBullet"/>
              <w:rPr>
                <w:rFonts w:eastAsia="Arial" w:cs="Arial"/>
              </w:rPr>
            </w:pPr>
            <w:r w:rsidRPr="007273AA">
              <w:rPr>
                <w:rFonts w:eastAsia="Arial" w:cs="Arial"/>
              </w:rPr>
              <w:t>Model the highest standards of</w:t>
            </w:r>
            <w:r>
              <w:rPr>
                <w:rFonts w:eastAsia="Arial" w:cs="Arial"/>
              </w:rPr>
              <w:t xml:space="preserve"> </w:t>
            </w:r>
            <w:r w:rsidRPr="007273AA">
              <w:rPr>
                <w:rFonts w:eastAsia="Arial" w:cs="Arial"/>
              </w:rPr>
              <w:t xml:space="preserve">ethical and professional behaviour and reinforce their use </w:t>
            </w:r>
          </w:p>
          <w:p w14:paraId="3C8E5211" w14:textId="77777777" w:rsidR="007273AA" w:rsidRDefault="007273AA" w:rsidP="02AFC879">
            <w:pPr>
              <w:pStyle w:val="TableBullet"/>
              <w:rPr>
                <w:rFonts w:eastAsia="Arial" w:cs="Arial"/>
              </w:rPr>
            </w:pPr>
            <w:r w:rsidRPr="007273AA">
              <w:rPr>
                <w:rFonts w:eastAsia="Arial" w:cs="Arial"/>
              </w:rPr>
              <w:t xml:space="preserve">Represent the organisation in an honest, ethical and professional way and set an example for others to follow </w:t>
            </w:r>
          </w:p>
          <w:p w14:paraId="032EF0DB" w14:textId="77777777" w:rsidR="007273AA" w:rsidRDefault="007273AA" w:rsidP="02AFC879">
            <w:pPr>
              <w:pStyle w:val="TableBullet"/>
              <w:rPr>
                <w:rFonts w:eastAsia="Arial" w:cs="Arial"/>
              </w:rPr>
            </w:pPr>
            <w:r w:rsidRPr="007273AA">
              <w:rPr>
                <w:rFonts w:eastAsia="Arial" w:cs="Arial"/>
              </w:rPr>
              <w:t xml:space="preserve">Promote a culture of integrity and professionalism within the organisation and in dealings external to government </w:t>
            </w:r>
          </w:p>
          <w:p w14:paraId="7393A99D" w14:textId="77777777" w:rsidR="007273AA" w:rsidRDefault="007273AA" w:rsidP="02AFC879">
            <w:pPr>
              <w:pStyle w:val="TableBullet"/>
              <w:rPr>
                <w:rFonts w:eastAsia="Arial" w:cs="Arial"/>
              </w:rPr>
            </w:pPr>
            <w:r w:rsidRPr="007273AA">
              <w:rPr>
                <w:rFonts w:eastAsia="Arial" w:cs="Arial"/>
              </w:rPr>
              <w:t xml:space="preserve">Monitor ethical practices, standards and systems and reinforce their use </w:t>
            </w:r>
          </w:p>
          <w:p w14:paraId="4307FF81" w14:textId="3427F7B0" w:rsidR="02AFC879" w:rsidRDefault="007273AA" w:rsidP="02AFC879">
            <w:pPr>
              <w:pStyle w:val="TableBullet"/>
              <w:rPr>
                <w:rFonts w:eastAsia="Arial" w:cs="Arial"/>
              </w:rPr>
            </w:pPr>
            <w:r w:rsidRPr="007273AA">
              <w:rPr>
                <w:rFonts w:eastAsia="Arial" w:cs="Arial"/>
              </w:rPr>
              <w:t>Act promptly on reported breaches</w:t>
            </w:r>
            <w:r>
              <w:rPr>
                <w:rFonts w:eastAsia="Arial" w:cs="Arial"/>
              </w:rPr>
              <w:t xml:space="preserve"> </w:t>
            </w:r>
            <w:r w:rsidRPr="007273AA">
              <w:rPr>
                <w:rFonts w:eastAsia="Arial" w:cs="Arial"/>
              </w:rPr>
              <w:t>of legislation, policies and</w:t>
            </w:r>
            <w:r>
              <w:rPr>
                <w:rFonts w:eastAsia="Arial" w:cs="Arial"/>
              </w:rPr>
              <w:t xml:space="preserve"> </w:t>
            </w:r>
            <w:r w:rsidRPr="007273AA">
              <w:rPr>
                <w:rFonts w:eastAsia="Arial" w:cs="Arial"/>
              </w:rPr>
              <w:t>guideline</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7D26ACAE" w14:textId="26129C6C" w:rsidR="02AFC879" w:rsidRDefault="007273AA" w:rsidP="02AFC879">
            <w:pPr>
              <w:pStyle w:val="TableText"/>
              <w:rPr>
                <w:rFonts w:eastAsia="Arial" w:cs="Arial"/>
              </w:rPr>
            </w:pPr>
            <w:r w:rsidRPr="02AFC879">
              <w:rPr>
                <w:rFonts w:eastAsia="Arial" w:cs="Arial"/>
              </w:rPr>
              <w:t>Advanced</w:t>
            </w:r>
          </w:p>
        </w:tc>
      </w:tr>
      <w:tr w:rsidR="02AFC879" w14:paraId="6B194C05" w14:textId="77777777" w:rsidTr="003F13D8">
        <w:trPr>
          <w:cantSplit/>
          <w:trHeight w:val="300"/>
        </w:trPr>
        <w:tc>
          <w:tcPr>
            <w:tcW w:w="1380" w:type="dxa"/>
            <w:tcBorders>
              <w:top w:val="single" w:sz="6" w:space="0" w:color="auto"/>
              <w:left w:val="nil"/>
              <w:bottom w:val="single" w:sz="6" w:space="0" w:color="auto"/>
              <w:right w:val="nil"/>
            </w:tcBorders>
            <w:tcMar>
              <w:top w:w="15" w:type="dxa"/>
              <w:left w:w="15" w:type="dxa"/>
              <w:bottom w:w="15" w:type="dxa"/>
              <w:right w:w="15" w:type="dxa"/>
            </w:tcMar>
          </w:tcPr>
          <w:p w14:paraId="6E971480" w14:textId="464815BD" w:rsidR="02AFC879" w:rsidRDefault="02AFC879" w:rsidP="02AFC879">
            <w:pPr>
              <w:jc w:val="center"/>
              <w:rPr>
                <w:rFonts w:eastAsia="Arial" w:cs="Arial"/>
                <w:sz w:val="20"/>
              </w:rPr>
            </w:pPr>
            <w:r>
              <w:rPr>
                <w:noProof/>
              </w:rPr>
              <w:lastRenderedPageBreak/>
              <w:drawing>
                <wp:inline distT="0" distB="0" distL="0" distR="0" wp14:anchorId="6E936509" wp14:editId="5910F5CE">
                  <wp:extent cx="742950" cy="742950"/>
                  <wp:effectExtent l="0" t="0" r="0" b="0"/>
                  <wp:docPr id="1944682651" name="Picture 1944682651"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2715" w:type="dxa"/>
            <w:tcBorders>
              <w:top w:val="single" w:sz="6" w:space="0" w:color="auto"/>
              <w:left w:val="nil"/>
              <w:bottom w:val="single" w:sz="6" w:space="0" w:color="auto"/>
              <w:right w:val="nil"/>
            </w:tcBorders>
            <w:tcMar>
              <w:top w:w="15" w:type="dxa"/>
              <w:left w:w="15" w:type="dxa"/>
              <w:bottom w:w="15" w:type="dxa"/>
              <w:right w:w="15" w:type="dxa"/>
            </w:tcMar>
          </w:tcPr>
          <w:p w14:paraId="5BC400D6" w14:textId="4EBA3F6A" w:rsidR="02AFC879" w:rsidRDefault="02AFC879" w:rsidP="02AFC879">
            <w:pPr>
              <w:rPr>
                <w:rFonts w:eastAsia="Arial" w:cs="Arial"/>
                <w:color w:val="000000" w:themeColor="text1"/>
                <w:sz w:val="20"/>
              </w:rPr>
            </w:pPr>
            <w:r w:rsidRPr="02AFC879">
              <w:rPr>
                <w:rFonts w:eastAsia="Arial" w:cs="Arial"/>
                <w:b/>
                <w:bCs/>
                <w:color w:val="000000" w:themeColor="text1"/>
                <w:sz w:val="20"/>
              </w:rPr>
              <w:t>Communicate Effectively</w:t>
            </w:r>
          </w:p>
          <w:p w14:paraId="2C1E27E2" w14:textId="7D983C38" w:rsidR="02AFC879" w:rsidRDefault="02AFC879" w:rsidP="02AFC879">
            <w:pPr>
              <w:rPr>
                <w:rFonts w:eastAsia="Arial" w:cs="Arial"/>
                <w:color w:val="000000" w:themeColor="text1"/>
                <w:sz w:val="20"/>
              </w:rPr>
            </w:pPr>
            <w:r w:rsidRPr="02AFC879">
              <w:rPr>
                <w:rFonts w:eastAsia="Arial" w:cs="Arial"/>
                <w:color w:val="000000" w:themeColor="text1"/>
                <w:sz w:val="20"/>
              </w:rPr>
              <w:t>Communicate clearly, actively listen to others, and respond with understanding and respect</w:t>
            </w:r>
          </w:p>
        </w:tc>
        <w:tc>
          <w:tcPr>
            <w:tcW w:w="4695" w:type="dxa"/>
            <w:tcBorders>
              <w:top w:val="single" w:sz="6" w:space="0" w:color="auto"/>
              <w:left w:val="nil"/>
              <w:bottom w:val="single" w:sz="6" w:space="0" w:color="auto"/>
              <w:right w:val="nil"/>
            </w:tcBorders>
            <w:tcMar>
              <w:top w:w="15" w:type="dxa"/>
              <w:left w:w="15" w:type="dxa"/>
              <w:bottom w:w="15" w:type="dxa"/>
              <w:right w:w="15" w:type="dxa"/>
            </w:tcMar>
          </w:tcPr>
          <w:p w14:paraId="2E40D33D" w14:textId="00503FC8" w:rsidR="02AFC879" w:rsidRDefault="02AFC879" w:rsidP="02AFC879">
            <w:pPr>
              <w:pStyle w:val="TableBullet"/>
              <w:rPr>
                <w:rFonts w:eastAsia="Arial" w:cs="Arial"/>
              </w:rPr>
            </w:pPr>
            <w:r w:rsidRPr="02AFC879">
              <w:rPr>
                <w:rFonts w:eastAsia="Arial" w:cs="Arial"/>
              </w:rPr>
              <w:t>Present with credibility, engage diverse audiences and test levels of understanding</w:t>
            </w:r>
          </w:p>
          <w:p w14:paraId="427492A5" w14:textId="621F7C47" w:rsidR="02AFC879" w:rsidRDefault="02AFC879" w:rsidP="02AFC879">
            <w:pPr>
              <w:pStyle w:val="TableBullet"/>
              <w:rPr>
                <w:rFonts w:eastAsia="Arial" w:cs="Arial"/>
              </w:rPr>
            </w:pPr>
            <w:r w:rsidRPr="02AFC879">
              <w:rPr>
                <w:rFonts w:eastAsia="Arial" w:cs="Arial"/>
              </w:rPr>
              <w:t>Translate technical and complex information clearly and concisely for diverse audiences</w:t>
            </w:r>
          </w:p>
          <w:p w14:paraId="3BD379D1" w14:textId="4F84E3CB" w:rsidR="02AFC879" w:rsidRDefault="02AFC879" w:rsidP="02AFC879">
            <w:pPr>
              <w:pStyle w:val="TableBullet"/>
              <w:rPr>
                <w:rFonts w:eastAsia="Arial" w:cs="Arial"/>
              </w:rPr>
            </w:pPr>
            <w:r w:rsidRPr="02AFC879">
              <w:rPr>
                <w:rFonts w:eastAsia="Arial" w:cs="Arial"/>
              </w:rPr>
              <w:t>Create opportunities for others to contribute to discussion and debate</w:t>
            </w:r>
          </w:p>
          <w:p w14:paraId="663D2594" w14:textId="144E1515" w:rsidR="02AFC879" w:rsidRDefault="02AFC879" w:rsidP="02AFC879">
            <w:pPr>
              <w:pStyle w:val="TableBullet"/>
              <w:rPr>
                <w:rFonts w:eastAsia="Arial" w:cs="Arial"/>
              </w:rPr>
            </w:pPr>
            <w:r w:rsidRPr="02AFC879">
              <w:rPr>
                <w:rFonts w:eastAsia="Arial" w:cs="Arial"/>
              </w:rPr>
              <w:t>Contribute to and promote information sharing across the organisation</w:t>
            </w:r>
          </w:p>
          <w:p w14:paraId="201BBCC5" w14:textId="78E1CD9D" w:rsidR="02AFC879" w:rsidRDefault="02AFC879" w:rsidP="02AFC879">
            <w:pPr>
              <w:pStyle w:val="TableBullet"/>
              <w:rPr>
                <w:rFonts w:eastAsia="Arial" w:cs="Arial"/>
              </w:rPr>
            </w:pPr>
            <w:r w:rsidRPr="02AFC879">
              <w:rPr>
                <w:rFonts w:eastAsia="Arial" w:cs="Arial"/>
              </w:rPr>
              <w:t>Manage complex communications that involve understanding and responding to multiple and divergent viewpoints</w:t>
            </w:r>
          </w:p>
          <w:p w14:paraId="3D0126FF" w14:textId="4FDF84EB" w:rsidR="02AFC879" w:rsidRDefault="02AFC879" w:rsidP="02AFC879">
            <w:pPr>
              <w:pStyle w:val="TableBullet"/>
              <w:rPr>
                <w:rFonts w:eastAsia="Arial" w:cs="Arial"/>
              </w:rPr>
            </w:pPr>
            <w:r w:rsidRPr="02AFC879">
              <w:rPr>
                <w:rFonts w:eastAsia="Arial" w:cs="Arial"/>
              </w:rPr>
              <w:t>Explore creative ways to engage diverse audiences and communicate information</w:t>
            </w:r>
          </w:p>
          <w:p w14:paraId="46CD46CD" w14:textId="53D5C537" w:rsidR="02AFC879" w:rsidRDefault="02AFC879" w:rsidP="02AFC879">
            <w:pPr>
              <w:pStyle w:val="TableBullet"/>
              <w:rPr>
                <w:rFonts w:eastAsia="Arial" w:cs="Arial"/>
              </w:rPr>
            </w:pPr>
            <w:r w:rsidRPr="02AFC879">
              <w:rPr>
                <w:rFonts w:eastAsia="Arial" w:cs="Arial"/>
              </w:rPr>
              <w:t>Adjust style and approach to optimise outcomes</w:t>
            </w:r>
          </w:p>
          <w:p w14:paraId="352E1730" w14:textId="0CD0A317" w:rsidR="02AFC879" w:rsidRDefault="02AFC879" w:rsidP="02AFC879">
            <w:pPr>
              <w:pStyle w:val="TableBullet"/>
              <w:rPr>
                <w:rFonts w:eastAsia="Arial" w:cs="Arial"/>
              </w:rPr>
            </w:pPr>
            <w:r w:rsidRPr="02AFC879">
              <w:rPr>
                <w:rFonts w:eastAsia="Arial" w:cs="Arial"/>
              </w:rPr>
              <w:t>Write fluently and persuasively in plain English and in a range of styles and formats</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53A48F72" w14:textId="5BCC4F36" w:rsidR="02AFC879" w:rsidRDefault="02AFC879" w:rsidP="02AFC879">
            <w:pPr>
              <w:pStyle w:val="TableText"/>
              <w:rPr>
                <w:rFonts w:eastAsia="Arial" w:cs="Arial"/>
              </w:rPr>
            </w:pPr>
            <w:r w:rsidRPr="02AFC879">
              <w:rPr>
                <w:rFonts w:eastAsia="Arial" w:cs="Arial"/>
              </w:rPr>
              <w:t>Advanced</w:t>
            </w:r>
          </w:p>
        </w:tc>
      </w:tr>
      <w:tr w:rsidR="02AFC879" w14:paraId="6E98FADD" w14:textId="77777777" w:rsidTr="003F13D8">
        <w:trPr>
          <w:cantSplit/>
          <w:trHeight w:val="300"/>
        </w:trPr>
        <w:tc>
          <w:tcPr>
            <w:tcW w:w="1380" w:type="dxa"/>
            <w:tcBorders>
              <w:top w:val="single" w:sz="6" w:space="0" w:color="auto"/>
              <w:left w:val="nil"/>
              <w:bottom w:val="single" w:sz="6" w:space="0" w:color="auto"/>
              <w:right w:val="nil"/>
            </w:tcBorders>
            <w:tcMar>
              <w:top w:w="15" w:type="dxa"/>
              <w:left w:w="15" w:type="dxa"/>
              <w:bottom w:w="15" w:type="dxa"/>
              <w:right w:w="15" w:type="dxa"/>
            </w:tcMar>
          </w:tcPr>
          <w:p w14:paraId="690050BD" w14:textId="0630FC9B" w:rsidR="02AFC879" w:rsidRDefault="02AFC879" w:rsidP="02AFC879">
            <w:pPr>
              <w:jc w:val="center"/>
              <w:rPr>
                <w:rFonts w:eastAsia="Arial" w:cs="Arial"/>
                <w:sz w:val="20"/>
              </w:rPr>
            </w:pPr>
            <w:r>
              <w:rPr>
                <w:noProof/>
              </w:rPr>
              <w:drawing>
                <wp:inline distT="0" distB="0" distL="0" distR="0" wp14:anchorId="5136CDDE" wp14:editId="1338F03C">
                  <wp:extent cx="742950" cy="742950"/>
                  <wp:effectExtent l="0" t="0" r="0" b="0"/>
                  <wp:docPr id="2125123845" name="Picture 2125123845"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2715" w:type="dxa"/>
            <w:tcBorders>
              <w:top w:val="single" w:sz="6" w:space="0" w:color="auto"/>
              <w:left w:val="nil"/>
              <w:bottom w:val="single" w:sz="6" w:space="0" w:color="auto"/>
              <w:right w:val="nil"/>
            </w:tcBorders>
            <w:tcMar>
              <w:top w:w="15" w:type="dxa"/>
              <w:left w:w="15" w:type="dxa"/>
              <w:bottom w:w="15" w:type="dxa"/>
              <w:right w:w="15" w:type="dxa"/>
            </w:tcMar>
          </w:tcPr>
          <w:p w14:paraId="1F5A0F07" w14:textId="3A829239" w:rsidR="02AFC879" w:rsidRDefault="02AFC879" w:rsidP="02AFC879">
            <w:pPr>
              <w:rPr>
                <w:rFonts w:eastAsia="Arial" w:cs="Arial"/>
                <w:color w:val="000000" w:themeColor="text1"/>
                <w:sz w:val="20"/>
              </w:rPr>
            </w:pPr>
            <w:r w:rsidRPr="02AFC879">
              <w:rPr>
                <w:rFonts w:eastAsia="Arial" w:cs="Arial"/>
                <w:b/>
                <w:bCs/>
                <w:color w:val="000000" w:themeColor="text1"/>
                <w:sz w:val="20"/>
              </w:rPr>
              <w:t>Think and Solve Problems</w:t>
            </w:r>
          </w:p>
          <w:p w14:paraId="251E5A2D" w14:textId="33CFB0BD" w:rsidR="02AFC879" w:rsidRDefault="02AFC879" w:rsidP="02AFC879">
            <w:pPr>
              <w:rPr>
                <w:rFonts w:eastAsia="Arial" w:cs="Arial"/>
                <w:color w:val="000000" w:themeColor="text1"/>
                <w:sz w:val="20"/>
              </w:rPr>
            </w:pPr>
            <w:r w:rsidRPr="02AFC879">
              <w:rPr>
                <w:rFonts w:eastAsia="Arial" w:cs="Arial"/>
                <w:color w:val="000000" w:themeColor="text1"/>
                <w:sz w:val="20"/>
              </w:rPr>
              <w:t>Think, analyse and consider the broader context to develop practical solutions</w:t>
            </w:r>
          </w:p>
        </w:tc>
        <w:tc>
          <w:tcPr>
            <w:tcW w:w="4695" w:type="dxa"/>
            <w:tcBorders>
              <w:top w:val="single" w:sz="6" w:space="0" w:color="auto"/>
              <w:left w:val="nil"/>
              <w:bottom w:val="single" w:sz="6" w:space="0" w:color="auto"/>
              <w:right w:val="nil"/>
            </w:tcBorders>
            <w:tcMar>
              <w:top w:w="15" w:type="dxa"/>
              <w:left w:w="15" w:type="dxa"/>
              <w:bottom w:w="15" w:type="dxa"/>
              <w:right w:w="15" w:type="dxa"/>
            </w:tcMar>
          </w:tcPr>
          <w:p w14:paraId="4306A07C" w14:textId="01088750" w:rsidR="02AFC879" w:rsidRDefault="02AFC879" w:rsidP="02AFC879">
            <w:pPr>
              <w:pStyle w:val="TableBullet"/>
              <w:rPr>
                <w:rFonts w:eastAsia="Arial" w:cs="Arial"/>
              </w:rPr>
            </w:pPr>
            <w:r w:rsidRPr="02AFC879">
              <w:rPr>
                <w:rFonts w:eastAsia="Arial" w:cs="Arial"/>
              </w:rPr>
              <w:t>Research and apply critical-thinking techniques in analysing information, identify interrelationships and make recommendations based on relevant evidence</w:t>
            </w:r>
          </w:p>
          <w:p w14:paraId="2ADC4A32" w14:textId="7E07FF76" w:rsidR="02AFC879" w:rsidRDefault="02AFC879" w:rsidP="02AFC879">
            <w:pPr>
              <w:pStyle w:val="TableBullet"/>
              <w:rPr>
                <w:rFonts w:eastAsia="Arial" w:cs="Arial"/>
              </w:rPr>
            </w:pPr>
            <w:r w:rsidRPr="02AFC879">
              <w:rPr>
                <w:rFonts w:eastAsia="Arial" w:cs="Arial"/>
              </w:rPr>
              <w:t>Anticipate, identify and address issues and potential problems that may have an impact on organisational objectives and the user experience</w:t>
            </w:r>
          </w:p>
          <w:p w14:paraId="33A1F25F" w14:textId="29A6DF1B" w:rsidR="02AFC879" w:rsidRDefault="02AFC879" w:rsidP="02AFC879">
            <w:pPr>
              <w:pStyle w:val="TableBullet"/>
              <w:rPr>
                <w:rFonts w:eastAsia="Arial" w:cs="Arial"/>
              </w:rPr>
            </w:pPr>
            <w:r w:rsidRPr="02AFC879">
              <w:rPr>
                <w:rFonts w:eastAsia="Arial" w:cs="Arial"/>
              </w:rPr>
              <w:t>Apply creative-thinking techniques to generate new ideas and options to address issues and improve the user experience</w:t>
            </w:r>
          </w:p>
          <w:p w14:paraId="0AEFA491" w14:textId="047175A8" w:rsidR="02AFC879" w:rsidRDefault="02AFC879" w:rsidP="02AFC879">
            <w:pPr>
              <w:pStyle w:val="TableBullet"/>
              <w:rPr>
                <w:rFonts w:eastAsia="Arial" w:cs="Arial"/>
              </w:rPr>
            </w:pPr>
            <w:r w:rsidRPr="02AFC879">
              <w:rPr>
                <w:rFonts w:eastAsia="Arial" w:cs="Arial"/>
              </w:rPr>
              <w:t>Seek contributions and ideas from people with diverse backgrounds and experience</w:t>
            </w:r>
          </w:p>
          <w:p w14:paraId="13D4CBE9" w14:textId="086492DA" w:rsidR="02AFC879" w:rsidRDefault="02AFC879" w:rsidP="02AFC879">
            <w:pPr>
              <w:pStyle w:val="TableBullet"/>
              <w:rPr>
                <w:rFonts w:eastAsia="Arial" w:cs="Arial"/>
              </w:rPr>
            </w:pPr>
            <w:r w:rsidRPr="02AFC879">
              <w:rPr>
                <w:rFonts w:eastAsia="Arial" w:cs="Arial"/>
              </w:rPr>
              <w:t>Participate in and contribute to team or unit initiatives to resolve common issues or barriers to effectiveness</w:t>
            </w:r>
          </w:p>
          <w:p w14:paraId="4B1FEE32" w14:textId="319FD161" w:rsidR="02AFC879" w:rsidRDefault="02AFC879" w:rsidP="02AFC879">
            <w:pPr>
              <w:pStyle w:val="TableBullet"/>
              <w:rPr>
                <w:rFonts w:eastAsia="Arial" w:cs="Arial"/>
              </w:rPr>
            </w:pPr>
            <w:r w:rsidRPr="02AFC879">
              <w:rPr>
                <w:rFonts w:eastAsia="Arial" w:cs="Arial"/>
              </w:rPr>
              <w:t>Identify and share business process improvements to enhance effectiveness</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48ED281C" w14:textId="700ACB65" w:rsidR="02AFC879" w:rsidRDefault="02AFC879" w:rsidP="02AFC879">
            <w:pPr>
              <w:pStyle w:val="TableText"/>
              <w:rPr>
                <w:rFonts w:eastAsia="Arial" w:cs="Arial"/>
              </w:rPr>
            </w:pPr>
            <w:r w:rsidRPr="02AFC879">
              <w:rPr>
                <w:rFonts w:eastAsia="Arial" w:cs="Arial"/>
              </w:rPr>
              <w:t>Adept</w:t>
            </w:r>
          </w:p>
        </w:tc>
      </w:tr>
      <w:tr w:rsidR="02AFC879" w14:paraId="5C4F6BB3" w14:textId="77777777" w:rsidTr="003F13D8">
        <w:trPr>
          <w:cantSplit/>
          <w:trHeight w:val="300"/>
        </w:trPr>
        <w:tc>
          <w:tcPr>
            <w:tcW w:w="1380" w:type="dxa"/>
            <w:tcBorders>
              <w:top w:val="single" w:sz="6" w:space="0" w:color="auto"/>
              <w:left w:val="nil"/>
              <w:bottom w:val="single" w:sz="6" w:space="0" w:color="auto"/>
              <w:right w:val="nil"/>
            </w:tcBorders>
            <w:tcMar>
              <w:top w:w="15" w:type="dxa"/>
              <w:left w:w="15" w:type="dxa"/>
              <w:bottom w:w="15" w:type="dxa"/>
              <w:right w:w="15" w:type="dxa"/>
            </w:tcMar>
          </w:tcPr>
          <w:p w14:paraId="1F05B7B4" w14:textId="59BCFB65" w:rsidR="02AFC879" w:rsidRDefault="02AFC879" w:rsidP="02AFC879">
            <w:pPr>
              <w:jc w:val="center"/>
              <w:rPr>
                <w:rFonts w:eastAsia="Arial" w:cs="Arial"/>
                <w:sz w:val="20"/>
              </w:rPr>
            </w:pPr>
            <w:r>
              <w:rPr>
                <w:noProof/>
              </w:rPr>
              <w:drawing>
                <wp:inline distT="0" distB="0" distL="0" distR="0" wp14:anchorId="275949D2" wp14:editId="028A8B1F">
                  <wp:extent cx="742950" cy="742950"/>
                  <wp:effectExtent l="0" t="0" r="0" b="0"/>
                  <wp:docPr id="2012110364" name="Picture 2012110364"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2715" w:type="dxa"/>
            <w:tcBorders>
              <w:top w:val="single" w:sz="6" w:space="0" w:color="auto"/>
              <w:left w:val="nil"/>
              <w:bottom w:val="single" w:sz="6" w:space="0" w:color="auto"/>
              <w:right w:val="nil"/>
            </w:tcBorders>
            <w:tcMar>
              <w:top w:w="15" w:type="dxa"/>
              <w:left w:w="15" w:type="dxa"/>
              <w:bottom w:w="15" w:type="dxa"/>
              <w:right w:w="15" w:type="dxa"/>
            </w:tcMar>
          </w:tcPr>
          <w:p w14:paraId="53EC778C" w14:textId="3D729B77" w:rsidR="02AFC879" w:rsidRDefault="02AFC879" w:rsidP="02AFC879">
            <w:pPr>
              <w:rPr>
                <w:rFonts w:eastAsia="Arial" w:cs="Arial"/>
                <w:color w:val="000000" w:themeColor="text1"/>
                <w:sz w:val="20"/>
              </w:rPr>
            </w:pPr>
            <w:r w:rsidRPr="02AFC879">
              <w:rPr>
                <w:rFonts w:eastAsia="Arial" w:cs="Arial"/>
                <w:b/>
                <w:bCs/>
                <w:color w:val="000000" w:themeColor="text1"/>
                <w:sz w:val="20"/>
              </w:rPr>
              <w:t>Technology</w:t>
            </w:r>
          </w:p>
          <w:p w14:paraId="00EE53C6" w14:textId="33E9BB7F" w:rsidR="02AFC879" w:rsidRDefault="02AFC879" w:rsidP="02AFC879">
            <w:pPr>
              <w:rPr>
                <w:rFonts w:eastAsia="Arial" w:cs="Arial"/>
                <w:color w:val="000000" w:themeColor="text1"/>
                <w:sz w:val="20"/>
              </w:rPr>
            </w:pPr>
            <w:r w:rsidRPr="02AFC879">
              <w:rPr>
                <w:rFonts w:eastAsia="Arial" w:cs="Arial"/>
                <w:color w:val="000000" w:themeColor="text1"/>
                <w:sz w:val="20"/>
              </w:rPr>
              <w:t>Understand and use available technologies to maximise efficiencies and effectiveness</w:t>
            </w:r>
          </w:p>
        </w:tc>
        <w:tc>
          <w:tcPr>
            <w:tcW w:w="4695" w:type="dxa"/>
            <w:tcBorders>
              <w:top w:val="single" w:sz="6" w:space="0" w:color="auto"/>
              <w:left w:val="nil"/>
              <w:bottom w:val="single" w:sz="6" w:space="0" w:color="auto"/>
              <w:right w:val="nil"/>
            </w:tcBorders>
            <w:tcMar>
              <w:top w:w="15" w:type="dxa"/>
              <w:left w:w="15" w:type="dxa"/>
              <w:bottom w:w="15" w:type="dxa"/>
              <w:right w:w="15" w:type="dxa"/>
            </w:tcMar>
          </w:tcPr>
          <w:p w14:paraId="59B62B7E" w14:textId="2A40FCF8" w:rsidR="02AFC879" w:rsidRDefault="02AFC879" w:rsidP="02AFC879">
            <w:pPr>
              <w:pStyle w:val="TableBullet"/>
              <w:rPr>
                <w:rFonts w:eastAsia="Arial" w:cs="Arial"/>
              </w:rPr>
            </w:pPr>
            <w:r w:rsidRPr="02AFC879">
              <w:rPr>
                <w:rFonts w:eastAsia="Arial" w:cs="Arial"/>
              </w:rPr>
              <w:t>Identify opportunities to use a broad range of technologies to collaborate</w:t>
            </w:r>
          </w:p>
          <w:p w14:paraId="46869F04" w14:textId="2AC55A3B" w:rsidR="02AFC879" w:rsidRDefault="02AFC879" w:rsidP="02AFC879">
            <w:pPr>
              <w:pStyle w:val="TableBullet"/>
              <w:rPr>
                <w:rFonts w:eastAsia="Arial" w:cs="Arial"/>
              </w:rPr>
            </w:pPr>
            <w:r w:rsidRPr="02AFC879">
              <w:rPr>
                <w:rFonts w:eastAsia="Arial" w:cs="Arial"/>
              </w:rPr>
              <w:t>Monitor compliance with cyber security and the use of technology policies</w:t>
            </w:r>
          </w:p>
          <w:p w14:paraId="1A10C22A" w14:textId="63550317" w:rsidR="02AFC879" w:rsidRDefault="02AFC879" w:rsidP="02AFC879">
            <w:pPr>
              <w:pStyle w:val="TableBullet"/>
              <w:rPr>
                <w:rFonts w:eastAsia="Arial" w:cs="Arial"/>
              </w:rPr>
            </w:pPr>
            <w:r w:rsidRPr="02AFC879">
              <w:rPr>
                <w:rFonts w:eastAsia="Arial" w:cs="Arial"/>
              </w:rPr>
              <w:t>Identify ways to maximise the value of available technology to achieve business strategies and outcomes</w:t>
            </w:r>
          </w:p>
          <w:p w14:paraId="66E3E790" w14:textId="248C53E2" w:rsidR="02AFC879" w:rsidRDefault="02AFC879" w:rsidP="02AFC879">
            <w:pPr>
              <w:pStyle w:val="TableBullet"/>
              <w:rPr>
                <w:rFonts w:eastAsia="Arial" w:cs="Arial"/>
              </w:rPr>
            </w:pPr>
            <w:r w:rsidRPr="02AFC879">
              <w:rPr>
                <w:rFonts w:eastAsia="Arial" w:cs="Arial"/>
              </w:rPr>
              <w:t>Monitor compliance with the organisation’s records, information and knowledge management requirements</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291EB3EA" w14:textId="620543EF" w:rsidR="02AFC879" w:rsidRDefault="02AFC879" w:rsidP="02AFC879">
            <w:pPr>
              <w:pStyle w:val="TableText"/>
              <w:rPr>
                <w:rFonts w:eastAsia="Arial" w:cs="Arial"/>
              </w:rPr>
            </w:pPr>
            <w:r w:rsidRPr="02AFC879">
              <w:rPr>
                <w:rFonts w:eastAsia="Arial" w:cs="Arial"/>
              </w:rPr>
              <w:t>Adept</w:t>
            </w:r>
          </w:p>
        </w:tc>
      </w:tr>
      <w:tr w:rsidR="00D12FA3" w14:paraId="2B18D1AE" w14:textId="77777777" w:rsidTr="003F13D8">
        <w:trPr>
          <w:cantSplit/>
          <w:trHeight w:val="300"/>
        </w:trPr>
        <w:tc>
          <w:tcPr>
            <w:tcW w:w="1380" w:type="dxa"/>
            <w:tcBorders>
              <w:top w:val="single" w:sz="6" w:space="0" w:color="auto"/>
              <w:left w:val="nil"/>
              <w:bottom w:val="single" w:sz="6" w:space="0" w:color="auto"/>
              <w:right w:val="nil"/>
            </w:tcBorders>
            <w:tcMar>
              <w:top w:w="15" w:type="dxa"/>
              <w:left w:w="15" w:type="dxa"/>
              <w:bottom w:w="15" w:type="dxa"/>
              <w:right w:w="15" w:type="dxa"/>
            </w:tcMar>
          </w:tcPr>
          <w:p w14:paraId="3A20EA82" w14:textId="47AF01FD" w:rsidR="00D12FA3" w:rsidRDefault="00D12FA3" w:rsidP="00D12FA3">
            <w:pPr>
              <w:jc w:val="center"/>
              <w:rPr>
                <w:noProof/>
              </w:rPr>
            </w:pPr>
            <w:r>
              <w:rPr>
                <w:noProof/>
              </w:rPr>
              <w:lastRenderedPageBreak/>
              <w:drawing>
                <wp:inline distT="0" distB="0" distL="0" distR="0" wp14:anchorId="1FEC2014" wp14:editId="40975896">
                  <wp:extent cx="742950" cy="742950"/>
                  <wp:effectExtent l="0" t="0" r="0" b="0"/>
                  <wp:docPr id="558159117" name="Picture 558159117"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2715" w:type="dxa"/>
            <w:tcBorders>
              <w:top w:val="single" w:sz="6" w:space="0" w:color="auto"/>
              <w:left w:val="nil"/>
              <w:bottom w:val="single" w:sz="6" w:space="0" w:color="auto"/>
              <w:right w:val="nil"/>
            </w:tcBorders>
            <w:tcMar>
              <w:top w:w="15" w:type="dxa"/>
              <w:left w:w="15" w:type="dxa"/>
              <w:bottom w:w="15" w:type="dxa"/>
              <w:right w:w="15" w:type="dxa"/>
            </w:tcMar>
          </w:tcPr>
          <w:p w14:paraId="0037A141" w14:textId="77777777" w:rsidR="00D12FA3" w:rsidRPr="00D12FA3" w:rsidRDefault="00D12FA3" w:rsidP="00D12FA3">
            <w:pPr>
              <w:rPr>
                <w:rFonts w:eastAsia="Arial" w:cs="Arial"/>
                <w:b/>
                <w:bCs/>
                <w:color w:val="000000" w:themeColor="text1"/>
                <w:sz w:val="20"/>
              </w:rPr>
            </w:pPr>
            <w:r w:rsidRPr="00D12FA3">
              <w:rPr>
                <w:rFonts w:eastAsia="Arial" w:cs="Arial"/>
                <w:b/>
                <w:bCs/>
                <w:color w:val="000000" w:themeColor="text1"/>
                <w:sz w:val="20"/>
              </w:rPr>
              <w:t>Procurement and Contract Management</w:t>
            </w:r>
          </w:p>
          <w:p w14:paraId="1BD15B0A" w14:textId="0DE93142" w:rsidR="00D12FA3" w:rsidRPr="00D12FA3" w:rsidRDefault="00D12FA3" w:rsidP="00D12FA3">
            <w:pPr>
              <w:rPr>
                <w:rFonts w:eastAsia="Arial" w:cs="Arial"/>
                <w:color w:val="000000" w:themeColor="text1"/>
                <w:sz w:val="20"/>
              </w:rPr>
            </w:pPr>
            <w:r w:rsidRPr="00D12FA3">
              <w:rPr>
                <w:rFonts w:eastAsia="Arial" w:cs="Arial"/>
                <w:color w:val="000000" w:themeColor="text1"/>
                <w:sz w:val="20"/>
              </w:rPr>
              <w:t>Understand and apply procurement processes to ensure effective purchasing and contract performance</w:t>
            </w:r>
          </w:p>
        </w:tc>
        <w:tc>
          <w:tcPr>
            <w:tcW w:w="4695" w:type="dxa"/>
            <w:tcBorders>
              <w:top w:val="single" w:sz="6" w:space="0" w:color="auto"/>
              <w:left w:val="nil"/>
              <w:bottom w:val="single" w:sz="6" w:space="0" w:color="auto"/>
              <w:right w:val="nil"/>
            </w:tcBorders>
            <w:tcMar>
              <w:top w:w="15" w:type="dxa"/>
              <w:left w:w="15" w:type="dxa"/>
              <w:bottom w:w="15" w:type="dxa"/>
              <w:right w:w="15" w:type="dxa"/>
            </w:tcMar>
          </w:tcPr>
          <w:p w14:paraId="23D55DB5" w14:textId="77777777" w:rsidR="005E24FF" w:rsidRDefault="005E24FF" w:rsidP="00D12FA3">
            <w:pPr>
              <w:pStyle w:val="TableBullet"/>
              <w:rPr>
                <w:rFonts w:eastAsia="Arial" w:cs="Arial"/>
              </w:rPr>
            </w:pPr>
            <w:r w:rsidRPr="005E24FF">
              <w:rPr>
                <w:rFonts w:eastAsia="Arial" w:cs="Arial"/>
              </w:rPr>
              <w:t xml:space="preserve">Apply legal, policy and organisational guidelines and procedures relating to procurement and contract management </w:t>
            </w:r>
          </w:p>
          <w:p w14:paraId="5B0F58A2" w14:textId="77777777" w:rsidR="005E24FF" w:rsidRDefault="005E24FF" w:rsidP="00D12FA3">
            <w:pPr>
              <w:pStyle w:val="TableBullet"/>
              <w:rPr>
                <w:rFonts w:eastAsia="Arial" w:cs="Arial"/>
              </w:rPr>
            </w:pPr>
            <w:r w:rsidRPr="005E24FF">
              <w:rPr>
                <w:rFonts w:eastAsia="Arial" w:cs="Arial"/>
              </w:rPr>
              <w:t>Develop well-written, well</w:t>
            </w:r>
            <w:r>
              <w:rPr>
                <w:rFonts w:eastAsia="Arial" w:cs="Arial"/>
              </w:rPr>
              <w:t>-</w:t>
            </w:r>
            <w:r w:rsidRPr="005E24FF">
              <w:rPr>
                <w:rFonts w:eastAsia="Arial" w:cs="Arial"/>
              </w:rPr>
              <w:t xml:space="preserve">structured procurement documentation that clearly sets out the business requirements </w:t>
            </w:r>
          </w:p>
          <w:p w14:paraId="504DCED4" w14:textId="3CD15792" w:rsidR="005E24FF" w:rsidRDefault="005E24FF" w:rsidP="00D12FA3">
            <w:pPr>
              <w:pStyle w:val="TableBullet"/>
              <w:rPr>
                <w:rFonts w:eastAsia="Arial" w:cs="Arial"/>
              </w:rPr>
            </w:pPr>
            <w:r w:rsidRPr="005E24FF">
              <w:rPr>
                <w:rFonts w:eastAsia="Arial" w:cs="Arial"/>
              </w:rPr>
              <w:t>Monitor procurement and contract management processes to ensure they are open, transparent and</w:t>
            </w:r>
            <w:r>
              <w:rPr>
                <w:rFonts w:eastAsia="Arial" w:cs="Arial"/>
              </w:rPr>
              <w:t xml:space="preserve"> </w:t>
            </w:r>
            <w:r w:rsidRPr="005E24FF">
              <w:rPr>
                <w:rFonts w:eastAsia="Arial" w:cs="Arial"/>
              </w:rPr>
              <w:t>competitive</w:t>
            </w:r>
          </w:p>
          <w:p w14:paraId="7233BAE1" w14:textId="60F2F28F" w:rsidR="005E24FF" w:rsidRDefault="005E24FF" w:rsidP="00D12FA3">
            <w:pPr>
              <w:pStyle w:val="TableBullet"/>
              <w:rPr>
                <w:rFonts w:eastAsia="Arial" w:cs="Arial"/>
              </w:rPr>
            </w:pPr>
            <w:r w:rsidRPr="005E24FF">
              <w:rPr>
                <w:rFonts w:eastAsia="Arial" w:cs="Arial"/>
              </w:rPr>
              <w:t>Be aware of procurement and contract management risks, and</w:t>
            </w:r>
            <w:r>
              <w:rPr>
                <w:rFonts w:eastAsia="Arial" w:cs="Arial"/>
              </w:rPr>
              <w:t xml:space="preserve"> </w:t>
            </w:r>
            <w:r w:rsidRPr="005E24FF">
              <w:rPr>
                <w:rFonts w:eastAsia="Arial" w:cs="Arial"/>
              </w:rPr>
              <w:t>actions to manage or mitigate</w:t>
            </w:r>
            <w:r>
              <w:rPr>
                <w:rFonts w:eastAsia="Arial" w:cs="Arial"/>
              </w:rPr>
              <w:t xml:space="preserve"> </w:t>
            </w:r>
            <w:r w:rsidRPr="005E24FF">
              <w:rPr>
                <w:rFonts w:eastAsia="Arial" w:cs="Arial"/>
              </w:rPr>
              <w:t xml:space="preserve">risk in monitoring contract performance </w:t>
            </w:r>
          </w:p>
          <w:p w14:paraId="0F3A1073" w14:textId="2BA80772" w:rsidR="005E24FF" w:rsidRDefault="005E24FF" w:rsidP="00D12FA3">
            <w:pPr>
              <w:pStyle w:val="TableBullet"/>
              <w:rPr>
                <w:rFonts w:eastAsia="Arial" w:cs="Arial"/>
              </w:rPr>
            </w:pPr>
            <w:r w:rsidRPr="005E24FF">
              <w:rPr>
                <w:rFonts w:eastAsia="Arial" w:cs="Arial"/>
              </w:rPr>
              <w:t>Evaluate tenders and select providers in an objective and rigorous way, in line with established guidelines and</w:t>
            </w:r>
            <w:r>
              <w:rPr>
                <w:rFonts w:eastAsia="Arial" w:cs="Arial"/>
              </w:rPr>
              <w:t xml:space="preserve"> </w:t>
            </w:r>
            <w:r w:rsidRPr="005E24FF">
              <w:rPr>
                <w:rFonts w:eastAsia="Arial" w:cs="Arial"/>
              </w:rPr>
              <w:t xml:space="preserve">principles </w:t>
            </w:r>
          </w:p>
          <w:p w14:paraId="499E51FE" w14:textId="38AD7C4C" w:rsidR="00D12FA3" w:rsidRPr="02AFC879" w:rsidRDefault="005E24FF" w:rsidP="00D12FA3">
            <w:pPr>
              <w:pStyle w:val="TableBullet"/>
              <w:rPr>
                <w:rFonts w:eastAsia="Arial" w:cs="Arial"/>
              </w:rPr>
            </w:pPr>
            <w:r w:rsidRPr="005E24FF">
              <w:rPr>
                <w:rFonts w:eastAsia="Arial" w:cs="Arial"/>
              </w:rPr>
              <w:t>Escalate procurement and contract</w:t>
            </w:r>
            <w:r>
              <w:rPr>
                <w:rFonts w:eastAsia="Arial" w:cs="Arial"/>
              </w:rPr>
              <w:t xml:space="preserve"> </w:t>
            </w:r>
            <w:r w:rsidRPr="005E24FF">
              <w:rPr>
                <w:rFonts w:eastAsia="Arial" w:cs="Arial"/>
              </w:rPr>
              <w:t>management issues, where require</w:t>
            </w:r>
            <w:r w:rsidR="0024606E">
              <w:rPr>
                <w:rFonts w:eastAsia="Arial" w:cs="Arial"/>
              </w:rPr>
              <w:t>d</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59BC626D" w14:textId="44C68A4C" w:rsidR="00D12FA3" w:rsidRPr="02AFC879" w:rsidRDefault="005E24FF" w:rsidP="00D12FA3">
            <w:pPr>
              <w:pStyle w:val="TableText"/>
              <w:rPr>
                <w:rFonts w:eastAsia="Arial" w:cs="Arial"/>
              </w:rPr>
            </w:pPr>
            <w:r w:rsidRPr="02AFC879">
              <w:rPr>
                <w:rFonts w:eastAsia="Arial" w:cs="Arial"/>
              </w:rPr>
              <w:t>Adept</w:t>
            </w:r>
          </w:p>
        </w:tc>
      </w:tr>
      <w:tr w:rsidR="00D12FA3" w14:paraId="5889BBD5" w14:textId="77777777" w:rsidTr="003F13D8">
        <w:trPr>
          <w:cantSplit/>
          <w:trHeight w:val="300"/>
        </w:trPr>
        <w:tc>
          <w:tcPr>
            <w:tcW w:w="1380" w:type="dxa"/>
            <w:tcBorders>
              <w:top w:val="single" w:sz="6" w:space="0" w:color="auto"/>
              <w:left w:val="nil"/>
              <w:bottom w:val="single" w:sz="6" w:space="0" w:color="auto"/>
              <w:right w:val="nil"/>
            </w:tcBorders>
            <w:tcMar>
              <w:top w:w="15" w:type="dxa"/>
              <w:left w:w="15" w:type="dxa"/>
              <w:bottom w:w="15" w:type="dxa"/>
              <w:right w:w="15" w:type="dxa"/>
            </w:tcMar>
          </w:tcPr>
          <w:p w14:paraId="3FEC15A3" w14:textId="660D9EB2" w:rsidR="00D12FA3" w:rsidRDefault="00D12FA3" w:rsidP="00D12FA3">
            <w:pPr>
              <w:jc w:val="center"/>
              <w:rPr>
                <w:rFonts w:eastAsia="Arial" w:cs="Arial"/>
                <w:sz w:val="20"/>
              </w:rPr>
            </w:pPr>
            <w:r>
              <w:rPr>
                <w:noProof/>
              </w:rPr>
              <w:drawing>
                <wp:inline distT="0" distB="0" distL="0" distR="0" wp14:anchorId="1D983B68" wp14:editId="157A9E90">
                  <wp:extent cx="742950" cy="742950"/>
                  <wp:effectExtent l="0" t="0" r="0" b="0"/>
                  <wp:docPr id="1757509586" name="Picture 1757509586"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2715" w:type="dxa"/>
            <w:tcBorders>
              <w:top w:val="single" w:sz="6" w:space="0" w:color="auto"/>
              <w:left w:val="nil"/>
              <w:bottom w:val="single" w:sz="6" w:space="0" w:color="auto"/>
              <w:right w:val="nil"/>
            </w:tcBorders>
            <w:tcMar>
              <w:top w:w="15" w:type="dxa"/>
              <w:left w:w="15" w:type="dxa"/>
              <w:bottom w:w="15" w:type="dxa"/>
              <w:right w:w="15" w:type="dxa"/>
            </w:tcMar>
          </w:tcPr>
          <w:p w14:paraId="0FF79D97" w14:textId="3A2D8FFA" w:rsidR="00D12FA3" w:rsidRDefault="00D12FA3" w:rsidP="00D12FA3">
            <w:pPr>
              <w:rPr>
                <w:rFonts w:eastAsia="Arial" w:cs="Arial"/>
                <w:color w:val="000000" w:themeColor="text1"/>
                <w:sz w:val="20"/>
              </w:rPr>
            </w:pPr>
            <w:r w:rsidRPr="02AFC879">
              <w:rPr>
                <w:rFonts w:eastAsia="Arial" w:cs="Arial"/>
                <w:b/>
                <w:bCs/>
                <w:color w:val="000000" w:themeColor="text1"/>
                <w:sz w:val="20"/>
              </w:rPr>
              <w:t>Manage and Develop People</w:t>
            </w:r>
          </w:p>
          <w:p w14:paraId="6738AC5D" w14:textId="64B2B38D" w:rsidR="00D12FA3" w:rsidRDefault="00D12FA3" w:rsidP="00D12FA3">
            <w:pPr>
              <w:rPr>
                <w:rFonts w:eastAsia="Arial" w:cs="Arial"/>
                <w:color w:val="000000" w:themeColor="text1"/>
                <w:sz w:val="20"/>
              </w:rPr>
            </w:pPr>
            <w:r w:rsidRPr="02AFC879">
              <w:rPr>
                <w:rFonts w:eastAsia="Arial" w:cs="Arial"/>
                <w:color w:val="000000" w:themeColor="text1"/>
                <w:sz w:val="20"/>
              </w:rPr>
              <w:t>Engage and motivate staff, and develop capability and potential in others</w:t>
            </w:r>
          </w:p>
        </w:tc>
        <w:tc>
          <w:tcPr>
            <w:tcW w:w="4695" w:type="dxa"/>
            <w:tcBorders>
              <w:top w:val="single" w:sz="6" w:space="0" w:color="auto"/>
              <w:left w:val="nil"/>
              <w:bottom w:val="single" w:sz="6" w:space="0" w:color="auto"/>
              <w:right w:val="nil"/>
            </w:tcBorders>
            <w:tcMar>
              <w:top w:w="15" w:type="dxa"/>
              <w:left w:w="15" w:type="dxa"/>
              <w:bottom w:w="15" w:type="dxa"/>
              <w:right w:w="15" w:type="dxa"/>
            </w:tcMar>
          </w:tcPr>
          <w:p w14:paraId="0E7B99F8" w14:textId="7F607880" w:rsidR="00D12FA3" w:rsidRDefault="00D12FA3" w:rsidP="00D12FA3">
            <w:pPr>
              <w:pStyle w:val="TableBullet"/>
              <w:rPr>
                <w:rFonts w:eastAsia="Arial" w:cs="Arial"/>
              </w:rPr>
            </w:pPr>
            <w:r w:rsidRPr="02AFC879">
              <w:rPr>
                <w:rFonts w:eastAsia="Arial" w:cs="Arial"/>
              </w:rPr>
              <w:t>Define and clearly communicate roles, responsibilities and performance standards to achieve team outcomes</w:t>
            </w:r>
          </w:p>
          <w:p w14:paraId="39AF401E" w14:textId="59E01EDE" w:rsidR="00D12FA3" w:rsidRDefault="00D12FA3" w:rsidP="00D12FA3">
            <w:pPr>
              <w:pStyle w:val="TableBullet"/>
              <w:rPr>
                <w:rFonts w:eastAsia="Arial" w:cs="Arial"/>
              </w:rPr>
            </w:pPr>
            <w:r w:rsidRPr="02AFC879">
              <w:rPr>
                <w:rFonts w:eastAsia="Arial" w:cs="Arial"/>
              </w:rPr>
              <w:t>Adjust performance development processes to meet the diverse abilities and needs of individuals and teams</w:t>
            </w:r>
          </w:p>
          <w:p w14:paraId="1ABAE547" w14:textId="4C9FBDFA" w:rsidR="00D12FA3" w:rsidRDefault="00D12FA3" w:rsidP="00D12FA3">
            <w:pPr>
              <w:pStyle w:val="TableBullet"/>
              <w:rPr>
                <w:rFonts w:eastAsia="Arial" w:cs="Arial"/>
              </w:rPr>
            </w:pPr>
            <w:r w:rsidRPr="02AFC879">
              <w:rPr>
                <w:rFonts w:eastAsia="Arial" w:cs="Arial"/>
              </w:rPr>
              <w:t>Develop work plans that consider capability, strengths and opportunities for development</w:t>
            </w:r>
          </w:p>
          <w:p w14:paraId="7C3B29C1" w14:textId="51AD55F5" w:rsidR="00D12FA3" w:rsidRDefault="00D12FA3" w:rsidP="00D12FA3">
            <w:pPr>
              <w:pStyle w:val="TableBullet"/>
              <w:rPr>
                <w:rFonts w:eastAsia="Arial" w:cs="Arial"/>
              </w:rPr>
            </w:pPr>
            <w:r w:rsidRPr="02AFC879">
              <w:rPr>
                <w:rFonts w:eastAsia="Arial" w:cs="Arial"/>
              </w:rPr>
              <w:t>Be aware of the influences of bias when managing team members</w:t>
            </w:r>
          </w:p>
          <w:p w14:paraId="0BB2F326" w14:textId="7F7CC3D9" w:rsidR="00D12FA3" w:rsidRDefault="00D12FA3" w:rsidP="00D12FA3">
            <w:pPr>
              <w:pStyle w:val="TableBullet"/>
              <w:rPr>
                <w:rFonts w:eastAsia="Arial" w:cs="Arial"/>
              </w:rPr>
            </w:pPr>
            <w:r w:rsidRPr="02AFC879">
              <w:rPr>
                <w:rFonts w:eastAsia="Arial" w:cs="Arial"/>
              </w:rPr>
              <w:t>Seek feedback on own management capabilities and develop strategies to address any gaps</w:t>
            </w:r>
          </w:p>
          <w:p w14:paraId="7AD2C88D" w14:textId="4BE318EB" w:rsidR="00D12FA3" w:rsidRDefault="00D12FA3" w:rsidP="00D12FA3">
            <w:pPr>
              <w:pStyle w:val="TableBullet"/>
              <w:rPr>
                <w:rFonts w:eastAsia="Arial" w:cs="Arial"/>
              </w:rPr>
            </w:pPr>
            <w:r w:rsidRPr="02AFC879">
              <w:rPr>
                <w:rFonts w:eastAsia="Arial" w:cs="Arial"/>
              </w:rPr>
              <w:t>Address and resolve team and individual performance issues, including unsatisfactory performance, in a timely and effective way</w:t>
            </w:r>
          </w:p>
          <w:p w14:paraId="04C18CD3" w14:textId="46932E08" w:rsidR="00D12FA3" w:rsidRDefault="00D12FA3" w:rsidP="00D12FA3">
            <w:pPr>
              <w:pStyle w:val="TableBullet"/>
              <w:rPr>
                <w:rFonts w:eastAsia="Arial" w:cs="Arial"/>
              </w:rPr>
            </w:pPr>
            <w:r w:rsidRPr="02AFC879">
              <w:rPr>
                <w:rFonts w:eastAsia="Arial" w:cs="Arial"/>
              </w:rPr>
              <w:t>Monitor and report on team performance in line with established performance development frameworks</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5B358F3D" w14:textId="1D26645D" w:rsidR="00D12FA3" w:rsidRDefault="00D12FA3" w:rsidP="00D12FA3">
            <w:pPr>
              <w:pStyle w:val="TableText"/>
              <w:rPr>
                <w:rFonts w:eastAsia="Arial" w:cs="Arial"/>
              </w:rPr>
            </w:pPr>
            <w:r w:rsidRPr="02AFC879">
              <w:rPr>
                <w:rFonts w:eastAsia="Arial" w:cs="Arial"/>
              </w:rPr>
              <w:t>Adept</w:t>
            </w:r>
          </w:p>
        </w:tc>
      </w:tr>
    </w:tbl>
    <w:p w14:paraId="6E7018FD" w14:textId="44BB8640" w:rsidR="132C16FF" w:rsidRDefault="132C16FF" w:rsidP="000F2AF7">
      <w:pPr>
        <w:pStyle w:val="Heading2"/>
        <w:keepLines/>
        <w:rPr>
          <w:rFonts w:eastAsia="Arial"/>
          <w:iCs w:val="0"/>
          <w:color w:val="000000" w:themeColor="text1"/>
          <w:szCs w:val="26"/>
          <w:lang w:val="en-US"/>
        </w:rPr>
      </w:pPr>
      <w:r w:rsidRPr="02AFC879">
        <w:rPr>
          <w:rFonts w:eastAsia="Arial"/>
          <w:iCs w:val="0"/>
          <w:color w:val="000000" w:themeColor="text1"/>
          <w:szCs w:val="26"/>
        </w:rPr>
        <w:lastRenderedPageBreak/>
        <w:t>Occupational Specific Focus Capabilities</w:t>
      </w:r>
    </w:p>
    <w:tbl>
      <w:tblPr>
        <w:tblStyle w:val="TableGrid"/>
        <w:tblW w:w="0" w:type="auto"/>
        <w:tblLayout w:type="fixed"/>
        <w:tblLook w:val="04A0" w:firstRow="1" w:lastRow="0" w:firstColumn="1" w:lastColumn="0" w:noHBand="0" w:noVBand="1"/>
      </w:tblPr>
      <w:tblGrid>
        <w:gridCol w:w="1425"/>
        <w:gridCol w:w="2820"/>
        <w:gridCol w:w="5253"/>
        <w:gridCol w:w="957"/>
      </w:tblGrid>
      <w:tr w:rsidR="02AFC879" w14:paraId="71B00451" w14:textId="77777777" w:rsidTr="00867474">
        <w:trPr>
          <w:cnfStyle w:val="100000000000" w:firstRow="1" w:lastRow="0" w:firstColumn="0" w:lastColumn="0" w:oddVBand="0" w:evenVBand="0" w:oddHBand="0" w:evenHBand="0" w:firstRowFirstColumn="0" w:firstRowLastColumn="0" w:lastRowFirstColumn="0" w:lastRowLastColumn="0"/>
          <w:cantSplit/>
          <w:trHeight w:val="300"/>
          <w:tblHeader/>
        </w:trPr>
        <w:tc>
          <w:tcPr>
            <w:tcW w:w="1425" w:type="dxa"/>
            <w:tcBorders>
              <w:top w:val="single" w:sz="6" w:space="0" w:color="auto"/>
              <w:left w:val="nil"/>
              <w:bottom w:val="single" w:sz="6" w:space="0" w:color="auto"/>
              <w:right w:val="nil"/>
            </w:tcBorders>
            <w:shd w:val="clear" w:color="auto" w:fill="BFBFBF" w:themeFill="background1" w:themeFillShade="BF"/>
            <w:tcMar>
              <w:top w:w="15" w:type="dxa"/>
              <w:left w:w="15" w:type="dxa"/>
              <w:bottom w:w="15" w:type="dxa"/>
              <w:right w:w="15" w:type="dxa"/>
            </w:tcMar>
            <w:vAlign w:val="center"/>
          </w:tcPr>
          <w:p w14:paraId="517F3B21" w14:textId="4EE961DA" w:rsidR="02AFC879" w:rsidRDefault="02AFC879" w:rsidP="000F2AF7">
            <w:pPr>
              <w:keepNext/>
              <w:keepLines/>
              <w:rPr>
                <w:rFonts w:eastAsia="Arial" w:cs="Arial"/>
                <w:sz w:val="20"/>
              </w:rPr>
            </w:pPr>
            <w:r w:rsidRPr="02AFC879">
              <w:rPr>
                <w:rFonts w:eastAsia="Arial" w:cs="Arial"/>
                <w:b/>
                <w:bCs/>
                <w:sz w:val="20"/>
              </w:rPr>
              <w:t>Capability group/sets</w:t>
            </w:r>
          </w:p>
        </w:tc>
        <w:tc>
          <w:tcPr>
            <w:tcW w:w="2820" w:type="dxa"/>
            <w:tcBorders>
              <w:top w:val="single" w:sz="6" w:space="0" w:color="auto"/>
              <w:left w:val="nil"/>
              <w:bottom w:val="single" w:sz="6" w:space="0" w:color="auto"/>
              <w:right w:val="nil"/>
            </w:tcBorders>
            <w:shd w:val="clear" w:color="auto" w:fill="BFBFBF" w:themeFill="background1" w:themeFillShade="BF"/>
            <w:tcMar>
              <w:top w:w="15" w:type="dxa"/>
              <w:left w:w="15" w:type="dxa"/>
              <w:bottom w:w="15" w:type="dxa"/>
              <w:right w:w="15" w:type="dxa"/>
            </w:tcMar>
          </w:tcPr>
          <w:p w14:paraId="48755408" w14:textId="37D97CDD" w:rsidR="02AFC879" w:rsidRDefault="02AFC879" w:rsidP="000F2AF7">
            <w:pPr>
              <w:keepNext/>
              <w:keepLines/>
              <w:rPr>
                <w:rFonts w:eastAsia="Arial" w:cs="Arial"/>
                <w:sz w:val="20"/>
              </w:rPr>
            </w:pPr>
            <w:r w:rsidRPr="02AFC879">
              <w:rPr>
                <w:rFonts w:eastAsia="Arial" w:cs="Arial"/>
                <w:b/>
                <w:bCs/>
                <w:sz w:val="20"/>
              </w:rPr>
              <w:t>Capability name</w:t>
            </w:r>
          </w:p>
        </w:tc>
        <w:tc>
          <w:tcPr>
            <w:tcW w:w="5253" w:type="dxa"/>
            <w:tcBorders>
              <w:top w:val="single" w:sz="6" w:space="0" w:color="auto"/>
              <w:left w:val="nil"/>
              <w:bottom w:val="single" w:sz="6" w:space="0" w:color="auto"/>
              <w:right w:val="nil"/>
            </w:tcBorders>
            <w:shd w:val="clear" w:color="auto" w:fill="BFBFBF" w:themeFill="background1" w:themeFillShade="BF"/>
            <w:tcMar>
              <w:top w:w="15" w:type="dxa"/>
              <w:left w:w="15" w:type="dxa"/>
              <w:bottom w:w="15" w:type="dxa"/>
              <w:right w:w="15" w:type="dxa"/>
            </w:tcMar>
          </w:tcPr>
          <w:p w14:paraId="1BF17A5B" w14:textId="10264AB2" w:rsidR="02AFC879" w:rsidRDefault="02AFC879" w:rsidP="000F2AF7">
            <w:pPr>
              <w:keepNext/>
              <w:keepLines/>
              <w:rPr>
                <w:rFonts w:eastAsia="Arial" w:cs="Arial"/>
                <w:sz w:val="20"/>
              </w:rPr>
            </w:pPr>
            <w:r w:rsidRPr="02AFC879">
              <w:rPr>
                <w:rFonts w:eastAsia="Arial" w:cs="Arial"/>
                <w:b/>
                <w:bCs/>
                <w:sz w:val="20"/>
              </w:rPr>
              <w:t>Behavioural indicators</w:t>
            </w:r>
          </w:p>
        </w:tc>
        <w:tc>
          <w:tcPr>
            <w:tcW w:w="957" w:type="dxa"/>
            <w:tcBorders>
              <w:top w:val="single" w:sz="6" w:space="0" w:color="auto"/>
              <w:left w:val="nil"/>
              <w:bottom w:val="single" w:sz="6" w:space="0" w:color="auto"/>
              <w:right w:val="nil"/>
            </w:tcBorders>
            <w:shd w:val="clear" w:color="auto" w:fill="BFBFBF" w:themeFill="background1" w:themeFillShade="BF"/>
            <w:tcMar>
              <w:top w:w="15" w:type="dxa"/>
              <w:left w:w="15" w:type="dxa"/>
              <w:bottom w:w="15" w:type="dxa"/>
              <w:right w:w="15" w:type="dxa"/>
            </w:tcMar>
          </w:tcPr>
          <w:p w14:paraId="5B8F2224" w14:textId="29690D2D" w:rsidR="02AFC879" w:rsidRDefault="02AFC879" w:rsidP="000F2AF7">
            <w:pPr>
              <w:keepNext/>
              <w:keepLines/>
              <w:rPr>
                <w:rFonts w:eastAsia="Arial" w:cs="Arial"/>
                <w:sz w:val="20"/>
              </w:rPr>
            </w:pPr>
            <w:r w:rsidRPr="02AFC879">
              <w:rPr>
                <w:rFonts w:eastAsia="Arial" w:cs="Arial"/>
                <w:b/>
                <w:bCs/>
                <w:sz w:val="20"/>
              </w:rPr>
              <w:t>Level</w:t>
            </w:r>
          </w:p>
        </w:tc>
      </w:tr>
      <w:tr w:rsidR="02AFC879" w14:paraId="625386AE" w14:textId="77777777" w:rsidTr="00867474">
        <w:trPr>
          <w:trHeight w:val="300"/>
        </w:trPr>
        <w:tc>
          <w:tcPr>
            <w:tcW w:w="1425" w:type="dxa"/>
            <w:tcBorders>
              <w:top w:val="single" w:sz="6" w:space="0" w:color="auto"/>
              <w:left w:val="nil"/>
              <w:bottom w:val="single" w:sz="6" w:space="0" w:color="auto"/>
              <w:right w:val="nil"/>
            </w:tcBorders>
            <w:tcMar>
              <w:top w:w="15" w:type="dxa"/>
              <w:left w:w="15" w:type="dxa"/>
              <w:bottom w:w="15" w:type="dxa"/>
              <w:right w:w="15" w:type="dxa"/>
            </w:tcMar>
          </w:tcPr>
          <w:p w14:paraId="0D765D73" w14:textId="65C3B8ED" w:rsidR="02AFC879" w:rsidRDefault="02AFC879" w:rsidP="000F2AF7">
            <w:pPr>
              <w:keepNext/>
              <w:keepLines/>
              <w:rPr>
                <w:rFonts w:eastAsia="Arial" w:cs="Arial"/>
                <w:sz w:val="20"/>
              </w:rPr>
            </w:pPr>
            <w:r>
              <w:rPr>
                <w:noProof/>
              </w:rPr>
              <w:drawing>
                <wp:inline distT="0" distB="0" distL="0" distR="0" wp14:anchorId="1721B087" wp14:editId="670DE8E5">
                  <wp:extent cx="828675" cy="828675"/>
                  <wp:effectExtent l="0" t="0" r="0" b="0"/>
                  <wp:docPr id="1559868975" name="Picture 1559868975"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tc>
        <w:tc>
          <w:tcPr>
            <w:tcW w:w="2820" w:type="dxa"/>
            <w:tcBorders>
              <w:top w:val="single" w:sz="6" w:space="0" w:color="auto"/>
              <w:left w:val="nil"/>
              <w:bottom w:val="single" w:sz="6" w:space="0" w:color="auto"/>
              <w:right w:val="nil"/>
            </w:tcBorders>
            <w:tcMar>
              <w:top w:w="15" w:type="dxa"/>
              <w:left w:w="15" w:type="dxa"/>
              <w:bottom w:w="15" w:type="dxa"/>
              <w:right w:w="15" w:type="dxa"/>
            </w:tcMar>
          </w:tcPr>
          <w:p w14:paraId="51F2E061" w14:textId="0142B8E1" w:rsidR="02AFC879" w:rsidRDefault="02AFC879" w:rsidP="000F2AF7">
            <w:pPr>
              <w:keepNext/>
              <w:keepLines/>
              <w:rPr>
                <w:rFonts w:eastAsia="Arial" w:cs="Arial"/>
                <w:sz w:val="20"/>
              </w:rPr>
            </w:pPr>
            <w:r w:rsidRPr="02AFC879">
              <w:rPr>
                <w:rFonts w:eastAsia="Arial" w:cs="Arial"/>
                <w:sz w:val="20"/>
              </w:rPr>
              <w:t>Strategy and architecture / Strategy and planning / Information management (IRMG)</w:t>
            </w:r>
          </w:p>
        </w:tc>
        <w:tc>
          <w:tcPr>
            <w:tcW w:w="5253" w:type="dxa"/>
            <w:tcBorders>
              <w:top w:val="single" w:sz="6" w:space="0" w:color="auto"/>
              <w:left w:val="nil"/>
              <w:bottom w:val="single" w:sz="6" w:space="0" w:color="auto"/>
              <w:right w:val="nil"/>
            </w:tcBorders>
            <w:tcMar>
              <w:top w:w="15" w:type="dxa"/>
              <w:left w:w="15" w:type="dxa"/>
              <w:bottom w:w="15" w:type="dxa"/>
              <w:right w:w="15" w:type="dxa"/>
            </w:tcMar>
          </w:tcPr>
          <w:p w14:paraId="1993293E" w14:textId="578E22CC" w:rsidR="02AFC879" w:rsidRDefault="02AFC879" w:rsidP="000F2AF7">
            <w:pPr>
              <w:pStyle w:val="ListParagraph"/>
              <w:keepNext/>
              <w:keepLines/>
              <w:numPr>
                <w:ilvl w:val="0"/>
                <w:numId w:val="1"/>
              </w:numPr>
              <w:rPr>
                <w:rFonts w:eastAsia="Arial" w:cs="Arial"/>
                <w:sz w:val="20"/>
              </w:rPr>
            </w:pPr>
            <w:r w:rsidRPr="02AFC879">
              <w:rPr>
                <w:rFonts w:eastAsia="Arial" w:cs="Arial"/>
                <w:sz w:val="20"/>
              </w:rPr>
              <w:t>Ensures implementation of information and records management policies and standard practice.</w:t>
            </w:r>
          </w:p>
          <w:p w14:paraId="33A123F9" w14:textId="44874BDC" w:rsidR="02AFC879" w:rsidRDefault="02AFC879" w:rsidP="000F2AF7">
            <w:pPr>
              <w:pStyle w:val="ListParagraph"/>
              <w:keepNext/>
              <w:keepLines/>
              <w:numPr>
                <w:ilvl w:val="0"/>
                <w:numId w:val="1"/>
              </w:numPr>
              <w:rPr>
                <w:rFonts w:eastAsia="Arial" w:cs="Arial"/>
                <w:sz w:val="20"/>
              </w:rPr>
            </w:pPr>
            <w:r w:rsidRPr="02AFC879">
              <w:rPr>
                <w:rFonts w:eastAsia="Arial" w:cs="Arial"/>
                <w:sz w:val="20"/>
              </w:rPr>
              <w:t>Communicates the benefits and value of information, both internal and external, that can be mined from business systems and elsewhere.</w:t>
            </w:r>
          </w:p>
          <w:p w14:paraId="6F75607F" w14:textId="504A5C15" w:rsidR="02AFC879" w:rsidRDefault="02AFC879" w:rsidP="000F2AF7">
            <w:pPr>
              <w:pStyle w:val="ListParagraph"/>
              <w:keepNext/>
              <w:keepLines/>
              <w:numPr>
                <w:ilvl w:val="0"/>
                <w:numId w:val="1"/>
              </w:numPr>
              <w:rPr>
                <w:rFonts w:eastAsia="Arial" w:cs="Arial"/>
                <w:sz w:val="20"/>
              </w:rPr>
            </w:pPr>
            <w:r w:rsidRPr="02AFC879">
              <w:rPr>
                <w:rFonts w:eastAsia="Arial" w:cs="Arial"/>
                <w:sz w:val="20"/>
              </w:rPr>
              <w:t>Reviews new change proposals and provides specialist advice on information and records management. Assesses and manages information-related risks.</w:t>
            </w:r>
          </w:p>
          <w:p w14:paraId="61ACADA3" w14:textId="5C784E30" w:rsidR="02AFC879" w:rsidRDefault="02AFC879" w:rsidP="000F2AF7">
            <w:pPr>
              <w:pStyle w:val="ListParagraph"/>
              <w:keepNext/>
              <w:keepLines/>
              <w:numPr>
                <w:ilvl w:val="0"/>
                <w:numId w:val="1"/>
              </w:numPr>
              <w:rPr>
                <w:rFonts w:eastAsia="Arial" w:cs="Arial"/>
                <w:sz w:val="20"/>
              </w:rPr>
            </w:pPr>
            <w:r w:rsidRPr="02AFC879">
              <w:rPr>
                <w:rFonts w:eastAsia="Arial" w:cs="Arial"/>
                <w:sz w:val="20"/>
              </w:rPr>
              <w:t>Contributes to the development of policy, standards and procedures for compliance with relevant legislation.</w:t>
            </w:r>
          </w:p>
        </w:tc>
        <w:tc>
          <w:tcPr>
            <w:tcW w:w="957" w:type="dxa"/>
            <w:tcBorders>
              <w:top w:val="single" w:sz="6" w:space="0" w:color="auto"/>
              <w:left w:val="nil"/>
              <w:bottom w:val="single" w:sz="6" w:space="0" w:color="auto"/>
              <w:right w:val="nil"/>
            </w:tcBorders>
            <w:tcMar>
              <w:top w:w="15" w:type="dxa"/>
              <w:left w:w="15" w:type="dxa"/>
              <w:bottom w:w="15" w:type="dxa"/>
              <w:right w:w="15" w:type="dxa"/>
            </w:tcMar>
          </w:tcPr>
          <w:p w14:paraId="03720ECF" w14:textId="57369A6F" w:rsidR="02AFC879" w:rsidRDefault="02AFC879" w:rsidP="000F2AF7">
            <w:pPr>
              <w:keepNext/>
              <w:keepLines/>
              <w:rPr>
                <w:rFonts w:eastAsia="Arial" w:cs="Arial"/>
                <w:sz w:val="20"/>
              </w:rPr>
            </w:pPr>
            <w:r w:rsidRPr="02AFC879">
              <w:rPr>
                <w:rFonts w:eastAsia="Arial" w:cs="Arial"/>
                <w:sz w:val="20"/>
              </w:rPr>
              <w:t>Level 5</w:t>
            </w:r>
          </w:p>
        </w:tc>
      </w:tr>
      <w:tr w:rsidR="02AFC879" w14:paraId="1EF77E1A" w14:textId="77777777" w:rsidTr="00867474">
        <w:trPr>
          <w:trHeight w:val="300"/>
        </w:trPr>
        <w:tc>
          <w:tcPr>
            <w:tcW w:w="1425" w:type="dxa"/>
            <w:tcBorders>
              <w:top w:val="single" w:sz="6" w:space="0" w:color="auto"/>
              <w:left w:val="nil"/>
              <w:bottom w:val="single" w:sz="6" w:space="0" w:color="auto"/>
              <w:right w:val="nil"/>
            </w:tcBorders>
            <w:tcMar>
              <w:top w:w="15" w:type="dxa"/>
              <w:left w:w="15" w:type="dxa"/>
              <w:bottom w:w="15" w:type="dxa"/>
              <w:right w:w="15" w:type="dxa"/>
            </w:tcMar>
          </w:tcPr>
          <w:p w14:paraId="52752C3C" w14:textId="19DB0FD4" w:rsidR="02AFC879" w:rsidRDefault="02AFC879" w:rsidP="02AFC879">
            <w:pPr>
              <w:rPr>
                <w:rFonts w:eastAsia="Arial" w:cs="Arial"/>
                <w:sz w:val="20"/>
              </w:rPr>
            </w:pPr>
            <w:r>
              <w:rPr>
                <w:noProof/>
              </w:rPr>
              <w:drawing>
                <wp:inline distT="0" distB="0" distL="0" distR="0" wp14:anchorId="5CC8D384" wp14:editId="2CBF1E7C">
                  <wp:extent cx="828675" cy="828675"/>
                  <wp:effectExtent l="0" t="0" r="0" b="0"/>
                  <wp:docPr id="687682991" name="Picture 687682991"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tc>
        <w:tc>
          <w:tcPr>
            <w:tcW w:w="2820" w:type="dxa"/>
            <w:tcBorders>
              <w:top w:val="single" w:sz="6" w:space="0" w:color="auto"/>
              <w:left w:val="nil"/>
              <w:bottom w:val="single" w:sz="6" w:space="0" w:color="auto"/>
              <w:right w:val="nil"/>
            </w:tcBorders>
            <w:tcMar>
              <w:top w:w="15" w:type="dxa"/>
              <w:left w:w="15" w:type="dxa"/>
              <w:bottom w:w="15" w:type="dxa"/>
              <w:right w:w="15" w:type="dxa"/>
            </w:tcMar>
          </w:tcPr>
          <w:p w14:paraId="1E918E57" w14:textId="434E915C" w:rsidR="02AFC879" w:rsidRDefault="02AFC879" w:rsidP="02AFC879">
            <w:pPr>
              <w:rPr>
                <w:rFonts w:eastAsia="Arial" w:cs="Arial"/>
                <w:sz w:val="20"/>
              </w:rPr>
            </w:pPr>
            <w:r w:rsidRPr="02AFC879">
              <w:rPr>
                <w:rFonts w:eastAsia="Arial" w:cs="Arial"/>
                <w:sz w:val="20"/>
              </w:rPr>
              <w:t>Strategy and architecture / Governance, risk and compliance / Quality assurance (QUAS)</w:t>
            </w:r>
          </w:p>
        </w:tc>
        <w:tc>
          <w:tcPr>
            <w:tcW w:w="5253" w:type="dxa"/>
            <w:tcBorders>
              <w:top w:val="single" w:sz="6" w:space="0" w:color="auto"/>
              <w:left w:val="nil"/>
              <w:bottom w:val="single" w:sz="6" w:space="0" w:color="auto"/>
              <w:right w:val="nil"/>
            </w:tcBorders>
            <w:tcMar>
              <w:top w:w="15" w:type="dxa"/>
              <w:left w:w="15" w:type="dxa"/>
              <w:bottom w:w="15" w:type="dxa"/>
              <w:right w:w="15" w:type="dxa"/>
            </w:tcMar>
          </w:tcPr>
          <w:p w14:paraId="21941599" w14:textId="6EEB1321" w:rsidR="02AFC879" w:rsidRDefault="02AFC879" w:rsidP="003F13D8">
            <w:pPr>
              <w:pStyle w:val="ListParagraph"/>
              <w:numPr>
                <w:ilvl w:val="0"/>
                <w:numId w:val="1"/>
              </w:numPr>
              <w:rPr>
                <w:rFonts w:eastAsia="Arial" w:cs="Arial"/>
                <w:sz w:val="20"/>
              </w:rPr>
            </w:pPr>
            <w:r w:rsidRPr="02AFC879">
              <w:rPr>
                <w:rFonts w:eastAsia="Arial" w:cs="Arial"/>
                <w:sz w:val="20"/>
              </w:rPr>
              <w:t>Plans, organises and conducts formal reviews and assessments of complex domains areas, cross-functional areas, and across the supply chain.</w:t>
            </w:r>
          </w:p>
          <w:p w14:paraId="66BBE0ED" w14:textId="14BD86DA" w:rsidR="02AFC879" w:rsidRDefault="02AFC879" w:rsidP="003F13D8">
            <w:pPr>
              <w:pStyle w:val="ListParagraph"/>
              <w:numPr>
                <w:ilvl w:val="0"/>
                <w:numId w:val="1"/>
              </w:numPr>
              <w:rPr>
                <w:rFonts w:eastAsia="Arial" w:cs="Arial"/>
                <w:sz w:val="20"/>
              </w:rPr>
            </w:pPr>
            <w:r w:rsidRPr="02AFC879">
              <w:rPr>
                <w:rFonts w:eastAsia="Arial" w:cs="Arial"/>
                <w:sz w:val="20"/>
              </w:rPr>
              <w:t>Evaluates, appraises and identifies non-compliances with organisational standards and determines the underlying reasons for non-compliance.</w:t>
            </w:r>
          </w:p>
          <w:p w14:paraId="635DB973" w14:textId="5FEFD598" w:rsidR="02AFC879" w:rsidRDefault="02AFC879" w:rsidP="003F13D8">
            <w:pPr>
              <w:pStyle w:val="ListParagraph"/>
              <w:numPr>
                <w:ilvl w:val="0"/>
                <w:numId w:val="1"/>
              </w:numPr>
              <w:rPr>
                <w:rFonts w:eastAsia="Arial" w:cs="Arial"/>
                <w:sz w:val="20"/>
              </w:rPr>
            </w:pPr>
            <w:r w:rsidRPr="02AFC879">
              <w:rPr>
                <w:rFonts w:eastAsia="Arial" w:cs="Arial"/>
                <w:sz w:val="20"/>
              </w:rPr>
              <w:t>Prepares and reports on assessment findings and associated risks. Ensures that appropriate owners for corrective actions are identified. Identifies opportunities to improve organisational control mechanisms.</w:t>
            </w:r>
          </w:p>
          <w:p w14:paraId="4C147933" w14:textId="0EA5D5A4" w:rsidR="02AFC879" w:rsidRDefault="02AFC879" w:rsidP="003F13D8">
            <w:pPr>
              <w:pStyle w:val="ListParagraph"/>
              <w:numPr>
                <w:ilvl w:val="0"/>
                <w:numId w:val="1"/>
              </w:numPr>
              <w:rPr>
                <w:rFonts w:eastAsia="Arial" w:cs="Arial"/>
                <w:sz w:val="20"/>
              </w:rPr>
            </w:pPr>
            <w:r w:rsidRPr="02AFC879">
              <w:rPr>
                <w:rFonts w:eastAsia="Arial" w:cs="Arial"/>
                <w:sz w:val="20"/>
              </w:rPr>
              <w:t>Oversees the assurance activities of others, providing advice and expertise to support assurance activity.</w:t>
            </w:r>
          </w:p>
        </w:tc>
        <w:tc>
          <w:tcPr>
            <w:tcW w:w="957" w:type="dxa"/>
            <w:tcBorders>
              <w:top w:val="single" w:sz="6" w:space="0" w:color="auto"/>
              <w:left w:val="nil"/>
              <w:bottom w:val="single" w:sz="6" w:space="0" w:color="auto"/>
              <w:right w:val="nil"/>
            </w:tcBorders>
            <w:tcMar>
              <w:top w:w="15" w:type="dxa"/>
              <w:left w:w="15" w:type="dxa"/>
              <w:bottom w:w="15" w:type="dxa"/>
              <w:right w:w="15" w:type="dxa"/>
            </w:tcMar>
          </w:tcPr>
          <w:p w14:paraId="1D5DDE2F" w14:textId="71EF1E83" w:rsidR="02AFC879" w:rsidRDefault="02AFC879" w:rsidP="02AFC879">
            <w:pPr>
              <w:rPr>
                <w:rFonts w:eastAsia="Arial" w:cs="Arial"/>
                <w:sz w:val="20"/>
              </w:rPr>
            </w:pPr>
            <w:r w:rsidRPr="02AFC879">
              <w:rPr>
                <w:rFonts w:eastAsia="Arial" w:cs="Arial"/>
                <w:sz w:val="20"/>
              </w:rPr>
              <w:t>Level 5</w:t>
            </w:r>
          </w:p>
        </w:tc>
      </w:tr>
      <w:tr w:rsidR="02AFC879" w14:paraId="6FC5FA26" w14:textId="77777777" w:rsidTr="00867474">
        <w:trPr>
          <w:trHeight w:val="300"/>
        </w:trPr>
        <w:tc>
          <w:tcPr>
            <w:tcW w:w="1425" w:type="dxa"/>
            <w:tcBorders>
              <w:top w:val="single" w:sz="6" w:space="0" w:color="auto"/>
              <w:left w:val="nil"/>
              <w:bottom w:val="single" w:sz="6" w:space="0" w:color="auto"/>
              <w:right w:val="nil"/>
            </w:tcBorders>
            <w:tcMar>
              <w:top w:w="15" w:type="dxa"/>
              <w:left w:w="15" w:type="dxa"/>
              <w:bottom w:w="15" w:type="dxa"/>
              <w:right w:w="15" w:type="dxa"/>
            </w:tcMar>
          </w:tcPr>
          <w:p w14:paraId="5F96B280" w14:textId="598BF1A3" w:rsidR="02AFC879" w:rsidRDefault="02AFC879" w:rsidP="02AFC879">
            <w:pPr>
              <w:rPr>
                <w:rFonts w:eastAsia="Arial" w:cs="Arial"/>
                <w:sz w:val="20"/>
              </w:rPr>
            </w:pPr>
            <w:r>
              <w:rPr>
                <w:noProof/>
              </w:rPr>
              <w:drawing>
                <wp:inline distT="0" distB="0" distL="0" distR="0" wp14:anchorId="5FE371B0" wp14:editId="2304149A">
                  <wp:extent cx="828675" cy="828675"/>
                  <wp:effectExtent l="0" t="0" r="0" b="0"/>
                  <wp:docPr id="101431790" name="Picture 101431790"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tc>
        <w:tc>
          <w:tcPr>
            <w:tcW w:w="2820" w:type="dxa"/>
            <w:tcBorders>
              <w:top w:val="single" w:sz="6" w:space="0" w:color="auto"/>
              <w:left w:val="nil"/>
              <w:bottom w:val="single" w:sz="6" w:space="0" w:color="auto"/>
              <w:right w:val="nil"/>
            </w:tcBorders>
            <w:tcMar>
              <w:top w:w="15" w:type="dxa"/>
              <w:left w:w="15" w:type="dxa"/>
              <w:bottom w:w="15" w:type="dxa"/>
              <w:right w:w="15" w:type="dxa"/>
            </w:tcMar>
          </w:tcPr>
          <w:p w14:paraId="3DB9C666" w14:textId="3883C00D" w:rsidR="02AFC879" w:rsidRDefault="02AFC879" w:rsidP="02AFC879">
            <w:pPr>
              <w:rPr>
                <w:rFonts w:eastAsia="Arial" w:cs="Arial"/>
                <w:sz w:val="20"/>
              </w:rPr>
            </w:pPr>
            <w:r w:rsidRPr="02AFC879">
              <w:rPr>
                <w:rFonts w:eastAsia="Arial" w:cs="Arial"/>
                <w:sz w:val="20"/>
              </w:rPr>
              <w:t>Development and implementation / Data and analytics / Data management (DATM)</w:t>
            </w:r>
          </w:p>
        </w:tc>
        <w:tc>
          <w:tcPr>
            <w:tcW w:w="5253" w:type="dxa"/>
            <w:tcBorders>
              <w:top w:val="single" w:sz="6" w:space="0" w:color="auto"/>
              <w:left w:val="nil"/>
              <w:bottom w:val="single" w:sz="6" w:space="0" w:color="auto"/>
              <w:right w:val="nil"/>
            </w:tcBorders>
            <w:tcMar>
              <w:top w:w="15" w:type="dxa"/>
              <w:left w:w="15" w:type="dxa"/>
              <w:bottom w:w="15" w:type="dxa"/>
              <w:right w:w="15" w:type="dxa"/>
            </w:tcMar>
          </w:tcPr>
          <w:p w14:paraId="10093655" w14:textId="314ADB27" w:rsidR="02AFC879" w:rsidRDefault="02AFC879" w:rsidP="003F13D8">
            <w:pPr>
              <w:pStyle w:val="ListParagraph"/>
              <w:numPr>
                <w:ilvl w:val="0"/>
                <w:numId w:val="1"/>
              </w:numPr>
              <w:rPr>
                <w:rFonts w:eastAsia="Arial" w:cs="Arial"/>
                <w:sz w:val="20"/>
              </w:rPr>
            </w:pPr>
            <w:r w:rsidRPr="02AFC879">
              <w:rPr>
                <w:rFonts w:eastAsia="Arial" w:cs="Arial"/>
                <w:sz w:val="20"/>
              </w:rPr>
              <w:t>Devises and implements master data management processes for specific subsets of data.</w:t>
            </w:r>
          </w:p>
          <w:p w14:paraId="334B2666" w14:textId="521427D5" w:rsidR="02AFC879" w:rsidRDefault="02AFC879" w:rsidP="003F13D8">
            <w:pPr>
              <w:pStyle w:val="ListParagraph"/>
              <w:numPr>
                <w:ilvl w:val="0"/>
                <w:numId w:val="1"/>
              </w:numPr>
              <w:rPr>
                <w:rFonts w:eastAsia="Arial" w:cs="Arial"/>
                <w:sz w:val="20"/>
              </w:rPr>
            </w:pPr>
            <w:r w:rsidRPr="02AFC879">
              <w:rPr>
                <w:rFonts w:eastAsia="Arial" w:cs="Arial"/>
                <w:sz w:val="20"/>
              </w:rPr>
              <w:t>Assesses the integrity of data from multiple sources.</w:t>
            </w:r>
          </w:p>
          <w:p w14:paraId="0925126C" w14:textId="3A83D6E0" w:rsidR="02AFC879" w:rsidRDefault="02AFC879" w:rsidP="003F13D8">
            <w:pPr>
              <w:pStyle w:val="ListParagraph"/>
              <w:numPr>
                <w:ilvl w:val="0"/>
                <w:numId w:val="1"/>
              </w:numPr>
              <w:rPr>
                <w:rFonts w:eastAsia="Arial" w:cs="Arial"/>
                <w:sz w:val="20"/>
              </w:rPr>
            </w:pPr>
            <w:r w:rsidRPr="02AFC879">
              <w:rPr>
                <w:rFonts w:eastAsia="Arial" w:cs="Arial"/>
                <w:sz w:val="20"/>
              </w:rPr>
              <w:t>Provides advice on the transformation of data from one format/medium to another. Maintains and implements information handling procedures.</w:t>
            </w:r>
          </w:p>
          <w:p w14:paraId="02B5ECA4" w14:textId="343B30CB" w:rsidR="02AFC879" w:rsidRDefault="02AFC879" w:rsidP="003F13D8">
            <w:pPr>
              <w:pStyle w:val="ListParagraph"/>
              <w:numPr>
                <w:ilvl w:val="0"/>
                <w:numId w:val="1"/>
              </w:numPr>
              <w:rPr>
                <w:rFonts w:eastAsia="Arial" w:cs="Arial"/>
                <w:sz w:val="20"/>
              </w:rPr>
            </w:pPr>
            <w:r w:rsidRPr="02AFC879">
              <w:rPr>
                <w:rFonts w:eastAsia="Arial" w:cs="Arial"/>
                <w:sz w:val="20"/>
              </w:rPr>
              <w:t>Enables the availability, integrity and searchability of information through the application of formal data and metadata structures and protection measures.</w:t>
            </w:r>
          </w:p>
        </w:tc>
        <w:tc>
          <w:tcPr>
            <w:tcW w:w="957" w:type="dxa"/>
            <w:tcBorders>
              <w:top w:val="single" w:sz="6" w:space="0" w:color="auto"/>
              <w:left w:val="nil"/>
              <w:bottom w:val="single" w:sz="6" w:space="0" w:color="auto"/>
              <w:right w:val="nil"/>
            </w:tcBorders>
            <w:tcMar>
              <w:top w:w="15" w:type="dxa"/>
              <w:left w:w="15" w:type="dxa"/>
              <w:bottom w:w="15" w:type="dxa"/>
              <w:right w:w="15" w:type="dxa"/>
            </w:tcMar>
          </w:tcPr>
          <w:p w14:paraId="522A6967" w14:textId="62DCB9D9" w:rsidR="02AFC879" w:rsidRDefault="02AFC879" w:rsidP="02AFC879">
            <w:pPr>
              <w:rPr>
                <w:rFonts w:eastAsia="Arial" w:cs="Arial"/>
                <w:sz w:val="20"/>
              </w:rPr>
            </w:pPr>
            <w:r w:rsidRPr="02AFC879">
              <w:rPr>
                <w:rFonts w:eastAsia="Arial" w:cs="Arial"/>
                <w:sz w:val="20"/>
              </w:rPr>
              <w:t>Level 4</w:t>
            </w:r>
          </w:p>
        </w:tc>
      </w:tr>
    </w:tbl>
    <w:p w14:paraId="15CD710F" w14:textId="0AE7D0F9" w:rsidR="132C16FF" w:rsidRDefault="132C16FF" w:rsidP="02AFC879">
      <w:pPr>
        <w:pStyle w:val="Heading2"/>
        <w:rPr>
          <w:rFonts w:eastAsia="Arial"/>
          <w:iCs w:val="0"/>
          <w:color w:val="000000" w:themeColor="text1"/>
          <w:szCs w:val="26"/>
          <w:lang w:val="en-US"/>
        </w:rPr>
      </w:pPr>
      <w:r w:rsidRPr="02AFC879">
        <w:rPr>
          <w:rFonts w:eastAsia="Arial"/>
          <w:iCs w:val="0"/>
          <w:color w:val="000000" w:themeColor="text1"/>
          <w:szCs w:val="26"/>
        </w:rPr>
        <w:t>Complementary capabilities</w:t>
      </w:r>
    </w:p>
    <w:p w14:paraId="05792C11" w14:textId="59FE41A1" w:rsidR="132C16FF" w:rsidRDefault="132C16FF" w:rsidP="02AFC879">
      <w:pPr>
        <w:pStyle w:val="PlainText"/>
        <w:spacing w:before="62" w:line="276" w:lineRule="auto"/>
        <w:contextualSpacing/>
        <w:rPr>
          <w:rFonts w:eastAsia="Arial" w:cs="Arial"/>
          <w:color w:val="000000" w:themeColor="text1"/>
          <w:lang w:val="en-US"/>
        </w:rPr>
      </w:pPr>
      <w:r w:rsidRPr="02AFC879">
        <w:rPr>
          <w:rFonts w:eastAsia="Arial" w:cs="Arial"/>
          <w:i/>
          <w:iCs/>
          <w:color w:val="000000" w:themeColor="text1"/>
          <w:lang w:val="en-US"/>
        </w:rPr>
        <w:t>Complementary capabilities</w:t>
      </w:r>
      <w:r w:rsidRPr="02AFC879">
        <w:rPr>
          <w:rFonts w:eastAsia="Arial" w:cs="Arial"/>
          <w:color w:val="000000" w:themeColor="text1"/>
          <w:lang w:val="en-US"/>
        </w:rPr>
        <w:t xml:space="preserve"> are also identified from the Capability Framework and relevant occupation-specific capability sets. They are important to </w:t>
      </w:r>
      <w:proofErr w:type="gramStart"/>
      <w:r w:rsidRPr="02AFC879">
        <w:rPr>
          <w:rFonts w:eastAsia="Arial" w:cs="Arial"/>
          <w:color w:val="000000" w:themeColor="text1"/>
          <w:lang w:val="en-US"/>
        </w:rPr>
        <w:t>identifying</w:t>
      </w:r>
      <w:proofErr w:type="gramEnd"/>
      <w:r w:rsidRPr="02AFC879">
        <w:rPr>
          <w:rFonts w:eastAsia="Arial" w:cs="Arial"/>
          <w:color w:val="000000" w:themeColor="text1"/>
          <w:lang w:val="en-US"/>
        </w:rPr>
        <w:t xml:space="preserve"> </w:t>
      </w:r>
      <w:proofErr w:type="gramStart"/>
      <w:r w:rsidRPr="02AFC879">
        <w:rPr>
          <w:rFonts w:eastAsia="Arial" w:cs="Arial"/>
          <w:color w:val="000000" w:themeColor="text1"/>
          <w:lang w:val="en-US"/>
        </w:rPr>
        <w:t>performance</w:t>
      </w:r>
      <w:proofErr w:type="gramEnd"/>
      <w:r w:rsidRPr="02AFC879">
        <w:rPr>
          <w:rFonts w:eastAsia="Arial" w:cs="Arial"/>
          <w:color w:val="000000" w:themeColor="text1"/>
          <w:lang w:val="en-US"/>
        </w:rPr>
        <w:t xml:space="preserve"> required for the role and development opportunities. </w:t>
      </w:r>
    </w:p>
    <w:p w14:paraId="38AAF0A6" w14:textId="11ADF535" w:rsidR="132C16FF" w:rsidRDefault="132C16FF" w:rsidP="02AFC879">
      <w:pPr>
        <w:pStyle w:val="PlainText"/>
        <w:spacing w:before="62" w:line="276" w:lineRule="auto"/>
        <w:contextualSpacing/>
        <w:rPr>
          <w:rFonts w:eastAsia="Arial" w:cs="Arial"/>
          <w:color w:val="000000" w:themeColor="text1"/>
          <w:lang w:val="en-US"/>
        </w:rPr>
      </w:pPr>
      <w:r w:rsidRPr="02AFC879">
        <w:rPr>
          <w:rFonts w:eastAsia="Arial" w:cs="Arial"/>
          <w:color w:val="000000" w:themeColor="text1"/>
          <w:lang w:val="en-US"/>
        </w:rPr>
        <w:t xml:space="preserve">Note: capabilities listed as ‘not essential’ for this role are not relevant for recruitment </w:t>
      </w:r>
      <w:proofErr w:type="gramStart"/>
      <w:r w:rsidRPr="02AFC879">
        <w:rPr>
          <w:rFonts w:eastAsia="Arial" w:cs="Arial"/>
          <w:color w:val="000000" w:themeColor="text1"/>
          <w:lang w:val="en-US"/>
        </w:rPr>
        <w:t>purposes</w:t>
      </w:r>
      <w:proofErr w:type="gramEnd"/>
      <w:r w:rsidRPr="02AFC879">
        <w:rPr>
          <w:rFonts w:eastAsia="Arial" w:cs="Arial"/>
          <w:color w:val="000000" w:themeColor="text1"/>
          <w:lang w:val="en-US"/>
        </w:rPr>
        <w:t xml:space="preserve"> </w:t>
      </w:r>
      <w:proofErr w:type="gramStart"/>
      <w:r w:rsidRPr="02AFC879">
        <w:rPr>
          <w:rFonts w:eastAsia="Arial" w:cs="Arial"/>
          <w:color w:val="000000" w:themeColor="text1"/>
          <w:lang w:val="en-US"/>
        </w:rPr>
        <w:t>however</w:t>
      </w:r>
      <w:proofErr w:type="gramEnd"/>
      <w:r w:rsidRPr="02AFC879">
        <w:rPr>
          <w:rFonts w:eastAsia="Arial" w:cs="Arial"/>
          <w:color w:val="000000" w:themeColor="text1"/>
          <w:lang w:val="en-US"/>
        </w:rPr>
        <w:t xml:space="preserve"> may be relevant for future career development.</w:t>
      </w:r>
    </w:p>
    <w:tbl>
      <w:tblPr>
        <w:tblStyle w:val="TableGrid"/>
        <w:tblW w:w="0" w:type="auto"/>
        <w:tblLayout w:type="fixed"/>
        <w:tblLook w:val="04A0" w:firstRow="1" w:lastRow="0" w:firstColumn="1" w:lastColumn="0" w:noHBand="0" w:noVBand="1"/>
      </w:tblPr>
      <w:tblGrid>
        <w:gridCol w:w="1275"/>
        <w:gridCol w:w="2685"/>
        <w:gridCol w:w="4845"/>
        <w:gridCol w:w="1665"/>
      </w:tblGrid>
      <w:tr w:rsidR="02AFC879" w14:paraId="29B365B7" w14:textId="77777777" w:rsidTr="003F13D8">
        <w:trPr>
          <w:cnfStyle w:val="100000000000" w:firstRow="1" w:lastRow="0" w:firstColumn="0" w:lastColumn="0" w:oddVBand="0" w:evenVBand="0" w:oddHBand="0" w:evenHBand="0" w:firstRowFirstColumn="0" w:firstRowLastColumn="0" w:lastRowFirstColumn="0" w:lastRowLastColumn="0"/>
          <w:cantSplit/>
          <w:trHeight w:val="300"/>
          <w:tblHeader/>
        </w:trPr>
        <w:tc>
          <w:tcPr>
            <w:tcW w:w="1275" w:type="dxa"/>
            <w:tcBorders>
              <w:top w:val="single" w:sz="6" w:space="0" w:color="auto"/>
              <w:left w:val="nil"/>
              <w:bottom w:val="single" w:sz="6" w:space="0" w:color="auto"/>
              <w:right w:val="nil"/>
            </w:tcBorders>
            <w:shd w:val="clear" w:color="auto" w:fill="BFBFBF" w:themeFill="background1" w:themeFillShade="BF"/>
            <w:tcMar>
              <w:top w:w="15" w:type="dxa"/>
              <w:left w:w="15" w:type="dxa"/>
              <w:bottom w:w="15" w:type="dxa"/>
              <w:right w:w="15" w:type="dxa"/>
            </w:tcMar>
            <w:vAlign w:val="center"/>
          </w:tcPr>
          <w:p w14:paraId="4FACB0EC" w14:textId="25B12001" w:rsidR="02AFC879" w:rsidRDefault="02AFC879" w:rsidP="02AFC879">
            <w:pPr>
              <w:rPr>
                <w:rFonts w:eastAsia="Arial" w:cs="Arial"/>
                <w:sz w:val="20"/>
              </w:rPr>
            </w:pPr>
            <w:r w:rsidRPr="02AFC879">
              <w:rPr>
                <w:rFonts w:eastAsia="Arial" w:cs="Arial"/>
                <w:b/>
                <w:bCs/>
                <w:sz w:val="20"/>
              </w:rPr>
              <w:t>Capability group/sets</w:t>
            </w:r>
          </w:p>
        </w:tc>
        <w:tc>
          <w:tcPr>
            <w:tcW w:w="2685" w:type="dxa"/>
            <w:tcBorders>
              <w:top w:val="single" w:sz="6" w:space="0" w:color="auto"/>
              <w:left w:val="nil"/>
              <w:bottom w:val="single" w:sz="6" w:space="0" w:color="auto"/>
              <w:right w:val="nil"/>
            </w:tcBorders>
            <w:shd w:val="clear" w:color="auto" w:fill="BFBFBF" w:themeFill="background1" w:themeFillShade="BF"/>
            <w:tcMar>
              <w:top w:w="15" w:type="dxa"/>
              <w:left w:w="15" w:type="dxa"/>
              <w:bottom w:w="15" w:type="dxa"/>
              <w:right w:w="15" w:type="dxa"/>
            </w:tcMar>
          </w:tcPr>
          <w:p w14:paraId="4F39D21A" w14:textId="23AB03A5" w:rsidR="02AFC879" w:rsidRDefault="02AFC879" w:rsidP="02AFC879">
            <w:pPr>
              <w:rPr>
                <w:rFonts w:eastAsia="Arial" w:cs="Arial"/>
                <w:sz w:val="20"/>
              </w:rPr>
            </w:pPr>
            <w:r w:rsidRPr="02AFC879">
              <w:rPr>
                <w:rFonts w:eastAsia="Arial" w:cs="Arial"/>
                <w:b/>
                <w:bCs/>
                <w:sz w:val="20"/>
              </w:rPr>
              <w:t>Capability name</w:t>
            </w:r>
          </w:p>
        </w:tc>
        <w:tc>
          <w:tcPr>
            <w:tcW w:w="4845" w:type="dxa"/>
            <w:tcBorders>
              <w:top w:val="single" w:sz="6" w:space="0" w:color="auto"/>
              <w:left w:val="nil"/>
              <w:bottom w:val="single" w:sz="6" w:space="0" w:color="auto"/>
              <w:right w:val="nil"/>
            </w:tcBorders>
            <w:shd w:val="clear" w:color="auto" w:fill="BFBFBF" w:themeFill="background1" w:themeFillShade="BF"/>
            <w:tcMar>
              <w:top w:w="15" w:type="dxa"/>
              <w:left w:w="15" w:type="dxa"/>
              <w:bottom w:w="15" w:type="dxa"/>
              <w:right w:w="15" w:type="dxa"/>
            </w:tcMar>
          </w:tcPr>
          <w:p w14:paraId="49D4732F" w14:textId="0CE3C012" w:rsidR="02AFC879" w:rsidRDefault="02AFC879" w:rsidP="02AFC879">
            <w:pPr>
              <w:rPr>
                <w:rFonts w:eastAsia="Arial" w:cs="Arial"/>
                <w:sz w:val="20"/>
              </w:rPr>
            </w:pPr>
            <w:r w:rsidRPr="02AFC879">
              <w:rPr>
                <w:rFonts w:eastAsia="Arial" w:cs="Arial"/>
                <w:b/>
                <w:bCs/>
                <w:sz w:val="20"/>
              </w:rPr>
              <w:t>Description</w:t>
            </w:r>
          </w:p>
        </w:tc>
        <w:tc>
          <w:tcPr>
            <w:tcW w:w="1665" w:type="dxa"/>
            <w:tcBorders>
              <w:top w:val="single" w:sz="6" w:space="0" w:color="auto"/>
              <w:left w:val="nil"/>
              <w:bottom w:val="single" w:sz="6" w:space="0" w:color="auto"/>
              <w:right w:val="nil"/>
            </w:tcBorders>
            <w:shd w:val="clear" w:color="auto" w:fill="BFBFBF" w:themeFill="background1" w:themeFillShade="BF"/>
            <w:tcMar>
              <w:top w:w="15" w:type="dxa"/>
              <w:left w:w="15" w:type="dxa"/>
              <w:bottom w:w="15" w:type="dxa"/>
              <w:right w:w="15" w:type="dxa"/>
            </w:tcMar>
          </w:tcPr>
          <w:p w14:paraId="0BC29103" w14:textId="2F5B46FA" w:rsidR="02AFC879" w:rsidRDefault="02AFC879" w:rsidP="02AFC879">
            <w:pPr>
              <w:rPr>
                <w:rFonts w:eastAsia="Arial" w:cs="Arial"/>
                <w:sz w:val="20"/>
              </w:rPr>
            </w:pPr>
            <w:r w:rsidRPr="02AFC879">
              <w:rPr>
                <w:rFonts w:eastAsia="Arial" w:cs="Arial"/>
                <w:b/>
                <w:bCs/>
                <w:sz w:val="20"/>
              </w:rPr>
              <w:t>Level</w:t>
            </w:r>
          </w:p>
        </w:tc>
      </w:tr>
      <w:tr w:rsidR="02AFC879" w14:paraId="0A6C5DC5" w14:textId="77777777" w:rsidTr="02AFC879">
        <w:trPr>
          <w:trHeight w:val="300"/>
        </w:trPr>
        <w:tc>
          <w:tcPr>
            <w:tcW w:w="1275" w:type="dxa"/>
            <w:tcBorders>
              <w:top w:val="single" w:sz="6" w:space="0" w:color="auto"/>
              <w:left w:val="nil"/>
              <w:bottom w:val="single" w:sz="6" w:space="0" w:color="auto"/>
              <w:right w:val="nil"/>
            </w:tcBorders>
            <w:tcMar>
              <w:top w:w="15" w:type="dxa"/>
              <w:left w:w="15" w:type="dxa"/>
              <w:bottom w:w="15" w:type="dxa"/>
              <w:right w:w="15" w:type="dxa"/>
            </w:tcMar>
          </w:tcPr>
          <w:p w14:paraId="30730EB4" w14:textId="47A48227" w:rsidR="02AFC879" w:rsidRDefault="003F13D8" w:rsidP="02AFC879">
            <w:pPr>
              <w:rPr>
                <w:rFonts w:eastAsia="Arial" w:cs="Arial"/>
                <w:sz w:val="20"/>
              </w:rPr>
            </w:pPr>
            <w:r>
              <w:rPr>
                <w:noProof/>
              </w:rPr>
              <w:drawing>
                <wp:inline distT="0" distB="0" distL="0" distR="0" wp14:anchorId="0D21FE38" wp14:editId="2C0D7C4F">
                  <wp:extent cx="576000" cy="576000"/>
                  <wp:effectExtent l="0" t="0" r="0" b="0"/>
                  <wp:docPr id="1" name="Picture 1"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2685" w:type="dxa"/>
            <w:tcBorders>
              <w:top w:val="single" w:sz="6" w:space="0" w:color="auto"/>
              <w:left w:val="nil"/>
              <w:bottom w:val="single" w:sz="6" w:space="0" w:color="auto"/>
              <w:right w:val="nil"/>
            </w:tcBorders>
            <w:tcMar>
              <w:top w:w="15" w:type="dxa"/>
              <w:left w:w="15" w:type="dxa"/>
              <w:bottom w:w="15" w:type="dxa"/>
              <w:right w:w="15" w:type="dxa"/>
            </w:tcMar>
          </w:tcPr>
          <w:p w14:paraId="7EBCDB5F" w14:textId="524B8A34" w:rsidR="02AFC879" w:rsidRDefault="02AFC879" w:rsidP="02AFC879">
            <w:pPr>
              <w:pStyle w:val="TableText"/>
              <w:rPr>
                <w:rFonts w:eastAsia="Arial" w:cs="Arial"/>
              </w:rPr>
            </w:pPr>
            <w:r w:rsidRPr="02AFC879">
              <w:rPr>
                <w:rFonts w:eastAsia="Arial" w:cs="Arial"/>
              </w:rPr>
              <w:t>Display Resilience and Courage</w:t>
            </w:r>
          </w:p>
        </w:tc>
        <w:tc>
          <w:tcPr>
            <w:tcW w:w="4845" w:type="dxa"/>
            <w:tcBorders>
              <w:top w:val="single" w:sz="6" w:space="0" w:color="auto"/>
              <w:left w:val="nil"/>
              <w:bottom w:val="single" w:sz="6" w:space="0" w:color="auto"/>
              <w:right w:val="nil"/>
            </w:tcBorders>
            <w:tcMar>
              <w:top w:w="15" w:type="dxa"/>
              <w:left w:w="15" w:type="dxa"/>
              <w:bottom w:w="15" w:type="dxa"/>
              <w:right w:w="15" w:type="dxa"/>
            </w:tcMar>
          </w:tcPr>
          <w:p w14:paraId="1585632B" w14:textId="00D27382" w:rsidR="02AFC879" w:rsidRDefault="02AFC879" w:rsidP="02AFC879">
            <w:pPr>
              <w:pStyle w:val="TableText"/>
              <w:rPr>
                <w:rFonts w:eastAsia="Arial" w:cs="Arial"/>
              </w:rPr>
            </w:pPr>
            <w:r w:rsidRPr="02AFC879">
              <w:rPr>
                <w:rFonts w:eastAsia="Arial" w:cs="Arial"/>
              </w:rPr>
              <w:t>Be open and honest, prepared to express your views, and willing to accept and commit to change</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3FFE20E4" w14:textId="671D1AC0" w:rsidR="02AFC879" w:rsidRDefault="02AFC879" w:rsidP="02AFC879">
            <w:pPr>
              <w:pStyle w:val="TableText"/>
              <w:rPr>
                <w:rFonts w:eastAsia="Arial" w:cs="Arial"/>
              </w:rPr>
            </w:pPr>
            <w:r w:rsidRPr="02AFC879">
              <w:rPr>
                <w:rFonts w:eastAsia="Arial" w:cs="Arial"/>
              </w:rPr>
              <w:t>Adept</w:t>
            </w:r>
          </w:p>
        </w:tc>
      </w:tr>
      <w:tr w:rsidR="02AFC879" w14:paraId="569113EA" w14:textId="77777777" w:rsidTr="02AFC879">
        <w:trPr>
          <w:trHeight w:val="300"/>
        </w:trPr>
        <w:tc>
          <w:tcPr>
            <w:tcW w:w="1275" w:type="dxa"/>
            <w:tcBorders>
              <w:top w:val="single" w:sz="6" w:space="0" w:color="auto"/>
              <w:left w:val="nil"/>
              <w:bottom w:val="single" w:sz="6" w:space="0" w:color="auto"/>
              <w:right w:val="nil"/>
            </w:tcBorders>
            <w:tcMar>
              <w:top w:w="15" w:type="dxa"/>
              <w:left w:w="15" w:type="dxa"/>
              <w:bottom w:w="15" w:type="dxa"/>
              <w:right w:w="15" w:type="dxa"/>
            </w:tcMar>
          </w:tcPr>
          <w:p w14:paraId="3460E4BC" w14:textId="1C669CB2" w:rsidR="02AFC879" w:rsidRDefault="003F13D8" w:rsidP="02AFC879">
            <w:pPr>
              <w:rPr>
                <w:rFonts w:eastAsia="Arial" w:cs="Arial"/>
                <w:sz w:val="20"/>
              </w:rPr>
            </w:pPr>
            <w:r>
              <w:rPr>
                <w:noProof/>
              </w:rPr>
              <w:drawing>
                <wp:inline distT="0" distB="0" distL="0" distR="0" wp14:anchorId="279622C5" wp14:editId="2599C0FD">
                  <wp:extent cx="576000" cy="576000"/>
                  <wp:effectExtent l="0" t="0" r="0" b="0"/>
                  <wp:docPr id="2" name="Picture 2"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2685" w:type="dxa"/>
            <w:tcBorders>
              <w:top w:val="single" w:sz="6" w:space="0" w:color="auto"/>
              <w:left w:val="nil"/>
              <w:bottom w:val="single" w:sz="6" w:space="0" w:color="auto"/>
              <w:right w:val="nil"/>
            </w:tcBorders>
            <w:tcMar>
              <w:top w:w="15" w:type="dxa"/>
              <w:left w:w="15" w:type="dxa"/>
              <w:bottom w:w="15" w:type="dxa"/>
              <w:right w:w="15" w:type="dxa"/>
            </w:tcMar>
          </w:tcPr>
          <w:p w14:paraId="79013C38" w14:textId="1C51879D" w:rsidR="02AFC879" w:rsidRDefault="02AFC879" w:rsidP="02AFC879">
            <w:pPr>
              <w:pStyle w:val="TableText"/>
              <w:rPr>
                <w:rFonts w:eastAsia="Arial" w:cs="Arial"/>
              </w:rPr>
            </w:pPr>
            <w:r w:rsidRPr="02AFC879">
              <w:rPr>
                <w:rFonts w:eastAsia="Arial" w:cs="Arial"/>
              </w:rPr>
              <w:t>Manage Self</w:t>
            </w:r>
          </w:p>
        </w:tc>
        <w:tc>
          <w:tcPr>
            <w:tcW w:w="4845" w:type="dxa"/>
            <w:tcBorders>
              <w:top w:val="single" w:sz="6" w:space="0" w:color="auto"/>
              <w:left w:val="nil"/>
              <w:bottom w:val="single" w:sz="6" w:space="0" w:color="auto"/>
              <w:right w:val="nil"/>
            </w:tcBorders>
            <w:tcMar>
              <w:top w:w="15" w:type="dxa"/>
              <w:left w:w="15" w:type="dxa"/>
              <w:bottom w:w="15" w:type="dxa"/>
              <w:right w:w="15" w:type="dxa"/>
            </w:tcMar>
          </w:tcPr>
          <w:p w14:paraId="1AEBD380" w14:textId="76ABBC7C" w:rsidR="02AFC879" w:rsidRDefault="02AFC879" w:rsidP="02AFC879">
            <w:pPr>
              <w:pStyle w:val="TableText"/>
              <w:rPr>
                <w:rFonts w:eastAsia="Arial" w:cs="Arial"/>
              </w:rPr>
            </w:pPr>
            <w:r w:rsidRPr="02AFC879">
              <w:rPr>
                <w:rFonts w:eastAsia="Arial" w:cs="Arial"/>
              </w:rPr>
              <w:t>Show drive and motivation, an ability to self-reflect and a commitment to learning</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56C528BC" w14:textId="4A38592A" w:rsidR="02AFC879" w:rsidRDefault="02AFC879" w:rsidP="02AFC879">
            <w:pPr>
              <w:pStyle w:val="TableText"/>
              <w:rPr>
                <w:rFonts w:eastAsia="Arial" w:cs="Arial"/>
              </w:rPr>
            </w:pPr>
            <w:r w:rsidRPr="02AFC879">
              <w:rPr>
                <w:rFonts w:eastAsia="Arial" w:cs="Arial"/>
              </w:rPr>
              <w:t>Adept</w:t>
            </w:r>
          </w:p>
        </w:tc>
      </w:tr>
      <w:tr w:rsidR="02AFC879" w14:paraId="5A279B0E" w14:textId="77777777" w:rsidTr="02AFC879">
        <w:trPr>
          <w:trHeight w:val="300"/>
        </w:trPr>
        <w:tc>
          <w:tcPr>
            <w:tcW w:w="1275" w:type="dxa"/>
            <w:tcBorders>
              <w:top w:val="single" w:sz="6" w:space="0" w:color="auto"/>
              <w:left w:val="nil"/>
              <w:bottom w:val="single" w:sz="6" w:space="0" w:color="auto"/>
              <w:right w:val="nil"/>
            </w:tcBorders>
            <w:tcMar>
              <w:top w:w="15" w:type="dxa"/>
              <w:left w:w="15" w:type="dxa"/>
              <w:bottom w:w="15" w:type="dxa"/>
              <w:right w:w="15" w:type="dxa"/>
            </w:tcMar>
          </w:tcPr>
          <w:p w14:paraId="5AE809E7" w14:textId="430E39B7" w:rsidR="02AFC879" w:rsidRDefault="003F13D8" w:rsidP="02AFC879">
            <w:pPr>
              <w:rPr>
                <w:rFonts w:eastAsia="Arial" w:cs="Arial"/>
                <w:sz w:val="20"/>
              </w:rPr>
            </w:pPr>
            <w:r>
              <w:rPr>
                <w:noProof/>
              </w:rPr>
              <w:lastRenderedPageBreak/>
              <w:drawing>
                <wp:inline distT="0" distB="0" distL="0" distR="0" wp14:anchorId="13C8ED50" wp14:editId="4A8076E7">
                  <wp:extent cx="576000" cy="576000"/>
                  <wp:effectExtent l="0" t="0" r="0" b="0"/>
                  <wp:docPr id="4" name="Picture 4"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2685" w:type="dxa"/>
            <w:tcBorders>
              <w:top w:val="single" w:sz="6" w:space="0" w:color="auto"/>
              <w:left w:val="nil"/>
              <w:bottom w:val="single" w:sz="6" w:space="0" w:color="auto"/>
              <w:right w:val="nil"/>
            </w:tcBorders>
            <w:tcMar>
              <w:top w:w="15" w:type="dxa"/>
              <w:left w:w="15" w:type="dxa"/>
              <w:bottom w:w="15" w:type="dxa"/>
              <w:right w:w="15" w:type="dxa"/>
            </w:tcMar>
          </w:tcPr>
          <w:p w14:paraId="2F3819D5" w14:textId="30A26F21" w:rsidR="02AFC879" w:rsidRDefault="02AFC879" w:rsidP="02AFC879">
            <w:pPr>
              <w:pStyle w:val="TableText"/>
              <w:rPr>
                <w:rFonts w:eastAsia="Arial" w:cs="Arial"/>
              </w:rPr>
            </w:pPr>
            <w:r w:rsidRPr="02AFC879">
              <w:rPr>
                <w:rFonts w:eastAsia="Arial" w:cs="Arial"/>
              </w:rPr>
              <w:t>Value Diversity and Inclusion</w:t>
            </w:r>
          </w:p>
        </w:tc>
        <w:tc>
          <w:tcPr>
            <w:tcW w:w="4845" w:type="dxa"/>
            <w:tcBorders>
              <w:top w:val="single" w:sz="6" w:space="0" w:color="auto"/>
              <w:left w:val="nil"/>
              <w:bottom w:val="single" w:sz="6" w:space="0" w:color="auto"/>
              <w:right w:val="nil"/>
            </w:tcBorders>
            <w:tcMar>
              <w:top w:w="15" w:type="dxa"/>
              <w:left w:w="15" w:type="dxa"/>
              <w:bottom w:w="15" w:type="dxa"/>
              <w:right w:w="15" w:type="dxa"/>
            </w:tcMar>
          </w:tcPr>
          <w:p w14:paraId="587E79AF" w14:textId="18711334" w:rsidR="02AFC879" w:rsidRDefault="02AFC879" w:rsidP="02AFC879">
            <w:pPr>
              <w:pStyle w:val="TableText"/>
              <w:rPr>
                <w:rFonts w:eastAsia="Arial" w:cs="Arial"/>
              </w:rPr>
            </w:pPr>
            <w:r w:rsidRPr="02AFC879">
              <w:rPr>
                <w:rFonts w:eastAsia="Arial" w:cs="Arial"/>
              </w:rPr>
              <w:t>Demonstrate inclusive behaviour and show respect for diverse backgrounds, experiences and perspectives</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025B2D83" w14:textId="142E104D" w:rsidR="02AFC879" w:rsidRDefault="02AFC879" w:rsidP="02AFC879">
            <w:pPr>
              <w:pStyle w:val="TableText"/>
              <w:rPr>
                <w:rFonts w:eastAsia="Arial" w:cs="Arial"/>
              </w:rPr>
            </w:pPr>
            <w:r w:rsidRPr="02AFC879">
              <w:rPr>
                <w:rFonts w:eastAsia="Arial" w:cs="Arial"/>
              </w:rPr>
              <w:t>Adept</w:t>
            </w:r>
          </w:p>
        </w:tc>
      </w:tr>
      <w:tr w:rsidR="02AFC879" w14:paraId="2B489650" w14:textId="77777777" w:rsidTr="02AFC879">
        <w:trPr>
          <w:trHeight w:val="300"/>
        </w:trPr>
        <w:tc>
          <w:tcPr>
            <w:tcW w:w="1275" w:type="dxa"/>
            <w:tcBorders>
              <w:top w:val="single" w:sz="6" w:space="0" w:color="auto"/>
              <w:left w:val="nil"/>
              <w:bottom w:val="single" w:sz="6" w:space="0" w:color="auto"/>
              <w:right w:val="nil"/>
            </w:tcBorders>
            <w:tcMar>
              <w:top w:w="15" w:type="dxa"/>
              <w:left w:w="15" w:type="dxa"/>
              <w:bottom w:w="15" w:type="dxa"/>
              <w:right w:w="15" w:type="dxa"/>
            </w:tcMar>
          </w:tcPr>
          <w:p w14:paraId="6C3D6A69" w14:textId="6C76F816" w:rsidR="02AFC879" w:rsidRDefault="003F13D8" w:rsidP="02AFC879">
            <w:pPr>
              <w:rPr>
                <w:rFonts w:eastAsia="Arial" w:cs="Arial"/>
                <w:sz w:val="20"/>
              </w:rPr>
            </w:pPr>
            <w:r>
              <w:rPr>
                <w:noProof/>
              </w:rPr>
              <w:drawing>
                <wp:inline distT="0" distB="0" distL="0" distR="0" wp14:anchorId="2B18519D" wp14:editId="64D0BEE2">
                  <wp:extent cx="576000" cy="576000"/>
                  <wp:effectExtent l="0" t="0" r="0" b="0"/>
                  <wp:docPr id="5" name="Picture 5"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2685" w:type="dxa"/>
            <w:tcBorders>
              <w:top w:val="single" w:sz="6" w:space="0" w:color="auto"/>
              <w:left w:val="nil"/>
              <w:bottom w:val="single" w:sz="6" w:space="0" w:color="auto"/>
              <w:right w:val="nil"/>
            </w:tcBorders>
            <w:tcMar>
              <w:top w:w="15" w:type="dxa"/>
              <w:left w:w="15" w:type="dxa"/>
              <w:bottom w:w="15" w:type="dxa"/>
              <w:right w:w="15" w:type="dxa"/>
            </w:tcMar>
          </w:tcPr>
          <w:p w14:paraId="05FDC9A0" w14:textId="71EAB80D" w:rsidR="02AFC879" w:rsidRDefault="02AFC879" w:rsidP="02AFC879">
            <w:pPr>
              <w:pStyle w:val="TableText"/>
              <w:rPr>
                <w:rFonts w:eastAsia="Arial" w:cs="Arial"/>
              </w:rPr>
            </w:pPr>
            <w:r w:rsidRPr="02AFC879">
              <w:rPr>
                <w:rFonts w:eastAsia="Arial" w:cs="Arial"/>
              </w:rPr>
              <w:t>Commit to Customer Service</w:t>
            </w:r>
          </w:p>
        </w:tc>
        <w:tc>
          <w:tcPr>
            <w:tcW w:w="4845" w:type="dxa"/>
            <w:tcBorders>
              <w:top w:val="single" w:sz="6" w:space="0" w:color="auto"/>
              <w:left w:val="nil"/>
              <w:bottom w:val="single" w:sz="6" w:space="0" w:color="auto"/>
              <w:right w:val="nil"/>
            </w:tcBorders>
            <w:tcMar>
              <w:top w:w="15" w:type="dxa"/>
              <w:left w:w="15" w:type="dxa"/>
              <w:bottom w:w="15" w:type="dxa"/>
              <w:right w:w="15" w:type="dxa"/>
            </w:tcMar>
          </w:tcPr>
          <w:p w14:paraId="3AC04EA2" w14:textId="214D740D" w:rsidR="02AFC879" w:rsidRDefault="02AFC879" w:rsidP="02AFC879">
            <w:pPr>
              <w:pStyle w:val="TableText"/>
              <w:rPr>
                <w:rFonts w:eastAsia="Arial" w:cs="Arial"/>
              </w:rPr>
            </w:pPr>
            <w:r w:rsidRPr="02AFC879">
              <w:rPr>
                <w:rFonts w:eastAsia="Arial" w:cs="Arial"/>
              </w:rPr>
              <w:t>Provide customer-focused services in line with public sector and organisational objectives</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2CDD6A9B" w14:textId="3C489C4C" w:rsidR="02AFC879" w:rsidRDefault="02AFC879" w:rsidP="02AFC879">
            <w:pPr>
              <w:pStyle w:val="TableText"/>
              <w:rPr>
                <w:rFonts w:eastAsia="Arial" w:cs="Arial"/>
              </w:rPr>
            </w:pPr>
            <w:r w:rsidRPr="02AFC879">
              <w:rPr>
                <w:rFonts w:eastAsia="Arial" w:cs="Arial"/>
              </w:rPr>
              <w:t>Intermediate</w:t>
            </w:r>
          </w:p>
        </w:tc>
      </w:tr>
      <w:tr w:rsidR="02AFC879" w14:paraId="5CE7BB5B" w14:textId="77777777" w:rsidTr="02AFC879">
        <w:trPr>
          <w:trHeight w:val="300"/>
        </w:trPr>
        <w:tc>
          <w:tcPr>
            <w:tcW w:w="1275" w:type="dxa"/>
            <w:tcBorders>
              <w:top w:val="single" w:sz="6" w:space="0" w:color="auto"/>
              <w:left w:val="nil"/>
              <w:bottom w:val="single" w:sz="6" w:space="0" w:color="auto"/>
              <w:right w:val="nil"/>
            </w:tcBorders>
            <w:tcMar>
              <w:top w:w="15" w:type="dxa"/>
              <w:left w:w="15" w:type="dxa"/>
              <w:bottom w:w="15" w:type="dxa"/>
              <w:right w:w="15" w:type="dxa"/>
            </w:tcMar>
          </w:tcPr>
          <w:p w14:paraId="7F503A21" w14:textId="37B56FA8" w:rsidR="02AFC879" w:rsidRDefault="003F13D8" w:rsidP="02AFC879">
            <w:pPr>
              <w:rPr>
                <w:rFonts w:eastAsia="Arial" w:cs="Arial"/>
                <w:sz w:val="20"/>
              </w:rPr>
            </w:pPr>
            <w:r>
              <w:rPr>
                <w:noProof/>
              </w:rPr>
              <w:drawing>
                <wp:inline distT="0" distB="0" distL="0" distR="0" wp14:anchorId="46895872" wp14:editId="1E12F425">
                  <wp:extent cx="576000" cy="576000"/>
                  <wp:effectExtent l="0" t="0" r="0" b="0"/>
                  <wp:docPr id="6" name="Picture 6"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2685" w:type="dxa"/>
            <w:tcBorders>
              <w:top w:val="single" w:sz="6" w:space="0" w:color="auto"/>
              <w:left w:val="nil"/>
              <w:bottom w:val="single" w:sz="6" w:space="0" w:color="auto"/>
              <w:right w:val="nil"/>
            </w:tcBorders>
            <w:tcMar>
              <w:top w:w="15" w:type="dxa"/>
              <w:left w:w="15" w:type="dxa"/>
              <w:bottom w:w="15" w:type="dxa"/>
              <w:right w:w="15" w:type="dxa"/>
            </w:tcMar>
          </w:tcPr>
          <w:p w14:paraId="34E32B1A" w14:textId="5EB233B5" w:rsidR="02AFC879" w:rsidRDefault="02AFC879" w:rsidP="02AFC879">
            <w:pPr>
              <w:pStyle w:val="TableText"/>
              <w:rPr>
                <w:rFonts w:eastAsia="Arial" w:cs="Arial"/>
              </w:rPr>
            </w:pPr>
            <w:r w:rsidRPr="02AFC879">
              <w:rPr>
                <w:rFonts w:eastAsia="Arial" w:cs="Arial"/>
              </w:rPr>
              <w:t>Work Collaboratively</w:t>
            </w:r>
          </w:p>
        </w:tc>
        <w:tc>
          <w:tcPr>
            <w:tcW w:w="4845" w:type="dxa"/>
            <w:tcBorders>
              <w:top w:val="single" w:sz="6" w:space="0" w:color="auto"/>
              <w:left w:val="nil"/>
              <w:bottom w:val="single" w:sz="6" w:space="0" w:color="auto"/>
              <w:right w:val="nil"/>
            </w:tcBorders>
            <w:tcMar>
              <w:top w:w="15" w:type="dxa"/>
              <w:left w:w="15" w:type="dxa"/>
              <w:bottom w:w="15" w:type="dxa"/>
              <w:right w:w="15" w:type="dxa"/>
            </w:tcMar>
          </w:tcPr>
          <w:p w14:paraId="2CDF4F5E" w14:textId="21678720" w:rsidR="02AFC879" w:rsidRDefault="02AFC879" w:rsidP="02AFC879">
            <w:pPr>
              <w:pStyle w:val="TableText"/>
              <w:rPr>
                <w:rFonts w:eastAsia="Arial" w:cs="Arial"/>
              </w:rPr>
            </w:pPr>
            <w:r w:rsidRPr="02AFC879">
              <w:rPr>
                <w:rFonts w:eastAsia="Arial" w:cs="Arial"/>
              </w:rPr>
              <w:t>Collaborate with others and value their contribution</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572B855C" w14:textId="7F36DDC5" w:rsidR="02AFC879" w:rsidRDefault="02AFC879" w:rsidP="02AFC879">
            <w:pPr>
              <w:pStyle w:val="TableText"/>
              <w:rPr>
                <w:rFonts w:eastAsia="Arial" w:cs="Arial"/>
              </w:rPr>
            </w:pPr>
            <w:r w:rsidRPr="02AFC879">
              <w:rPr>
                <w:rFonts w:eastAsia="Arial" w:cs="Arial"/>
              </w:rPr>
              <w:t>Intermediate</w:t>
            </w:r>
          </w:p>
        </w:tc>
      </w:tr>
      <w:tr w:rsidR="02AFC879" w14:paraId="034142EA" w14:textId="77777777" w:rsidTr="02AFC879">
        <w:trPr>
          <w:trHeight w:val="300"/>
        </w:trPr>
        <w:tc>
          <w:tcPr>
            <w:tcW w:w="1275" w:type="dxa"/>
            <w:tcBorders>
              <w:top w:val="single" w:sz="6" w:space="0" w:color="auto"/>
              <w:left w:val="nil"/>
              <w:bottom w:val="single" w:sz="6" w:space="0" w:color="auto"/>
              <w:right w:val="nil"/>
            </w:tcBorders>
            <w:tcMar>
              <w:top w:w="15" w:type="dxa"/>
              <w:left w:w="15" w:type="dxa"/>
              <w:bottom w:w="15" w:type="dxa"/>
              <w:right w:w="15" w:type="dxa"/>
            </w:tcMar>
          </w:tcPr>
          <w:p w14:paraId="78428E1A" w14:textId="1EE26384" w:rsidR="02AFC879" w:rsidRDefault="003F13D8" w:rsidP="02AFC879">
            <w:pPr>
              <w:rPr>
                <w:rFonts w:eastAsia="Arial" w:cs="Arial"/>
                <w:sz w:val="20"/>
              </w:rPr>
            </w:pPr>
            <w:r>
              <w:rPr>
                <w:noProof/>
              </w:rPr>
              <w:drawing>
                <wp:inline distT="0" distB="0" distL="0" distR="0" wp14:anchorId="6E107187" wp14:editId="07E03930">
                  <wp:extent cx="576000" cy="576000"/>
                  <wp:effectExtent l="0" t="0" r="0" b="0"/>
                  <wp:docPr id="7" name="Picture 7"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2685" w:type="dxa"/>
            <w:tcBorders>
              <w:top w:val="single" w:sz="6" w:space="0" w:color="auto"/>
              <w:left w:val="nil"/>
              <w:bottom w:val="single" w:sz="6" w:space="0" w:color="auto"/>
              <w:right w:val="nil"/>
            </w:tcBorders>
            <w:tcMar>
              <w:top w:w="15" w:type="dxa"/>
              <w:left w:w="15" w:type="dxa"/>
              <w:bottom w:w="15" w:type="dxa"/>
              <w:right w:w="15" w:type="dxa"/>
            </w:tcMar>
          </w:tcPr>
          <w:p w14:paraId="2137D7B2" w14:textId="23105CA4" w:rsidR="02AFC879" w:rsidRDefault="02AFC879" w:rsidP="02AFC879">
            <w:pPr>
              <w:pStyle w:val="TableText"/>
              <w:rPr>
                <w:rFonts w:eastAsia="Arial" w:cs="Arial"/>
              </w:rPr>
            </w:pPr>
            <w:r w:rsidRPr="02AFC879">
              <w:rPr>
                <w:rFonts w:eastAsia="Arial" w:cs="Arial"/>
              </w:rPr>
              <w:t xml:space="preserve">Influence and </w:t>
            </w:r>
            <w:proofErr w:type="gramStart"/>
            <w:r w:rsidRPr="02AFC879">
              <w:rPr>
                <w:rFonts w:eastAsia="Arial" w:cs="Arial"/>
              </w:rPr>
              <w:t>Negotiate</w:t>
            </w:r>
            <w:proofErr w:type="gramEnd"/>
          </w:p>
        </w:tc>
        <w:tc>
          <w:tcPr>
            <w:tcW w:w="4845" w:type="dxa"/>
            <w:tcBorders>
              <w:top w:val="single" w:sz="6" w:space="0" w:color="auto"/>
              <w:left w:val="nil"/>
              <w:bottom w:val="single" w:sz="6" w:space="0" w:color="auto"/>
              <w:right w:val="nil"/>
            </w:tcBorders>
            <w:tcMar>
              <w:top w:w="15" w:type="dxa"/>
              <w:left w:w="15" w:type="dxa"/>
              <w:bottom w:w="15" w:type="dxa"/>
              <w:right w:w="15" w:type="dxa"/>
            </w:tcMar>
          </w:tcPr>
          <w:p w14:paraId="0A0C8854" w14:textId="51D648B2" w:rsidR="02AFC879" w:rsidRDefault="02AFC879" w:rsidP="02AFC879">
            <w:pPr>
              <w:pStyle w:val="TableText"/>
              <w:rPr>
                <w:rFonts w:eastAsia="Arial" w:cs="Arial"/>
              </w:rPr>
            </w:pPr>
            <w:r w:rsidRPr="02AFC879">
              <w:rPr>
                <w:rFonts w:eastAsia="Arial" w:cs="Arial"/>
              </w:rPr>
              <w:t>Gain consensus and commitment from others, and resolve issues and conflicts</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039A8113" w14:textId="0DEC03FF" w:rsidR="02AFC879" w:rsidRDefault="02AFC879" w:rsidP="02AFC879">
            <w:pPr>
              <w:pStyle w:val="TableText"/>
              <w:rPr>
                <w:rFonts w:eastAsia="Arial" w:cs="Arial"/>
              </w:rPr>
            </w:pPr>
            <w:r w:rsidRPr="02AFC879">
              <w:rPr>
                <w:rFonts w:eastAsia="Arial" w:cs="Arial"/>
              </w:rPr>
              <w:t>Adept</w:t>
            </w:r>
          </w:p>
        </w:tc>
      </w:tr>
      <w:tr w:rsidR="02AFC879" w14:paraId="23935CF9" w14:textId="77777777" w:rsidTr="02AFC879">
        <w:trPr>
          <w:trHeight w:val="300"/>
        </w:trPr>
        <w:tc>
          <w:tcPr>
            <w:tcW w:w="1275" w:type="dxa"/>
            <w:tcBorders>
              <w:top w:val="single" w:sz="6" w:space="0" w:color="auto"/>
              <w:left w:val="nil"/>
              <w:bottom w:val="single" w:sz="6" w:space="0" w:color="auto"/>
              <w:right w:val="nil"/>
            </w:tcBorders>
            <w:tcMar>
              <w:top w:w="15" w:type="dxa"/>
              <w:left w:w="15" w:type="dxa"/>
              <w:bottom w:w="15" w:type="dxa"/>
              <w:right w:w="15" w:type="dxa"/>
            </w:tcMar>
          </w:tcPr>
          <w:p w14:paraId="04671740" w14:textId="2F4E74CA" w:rsidR="02AFC879" w:rsidRDefault="003F13D8" w:rsidP="02AFC879">
            <w:pPr>
              <w:rPr>
                <w:rFonts w:eastAsia="Arial" w:cs="Arial"/>
                <w:sz w:val="20"/>
              </w:rPr>
            </w:pPr>
            <w:r>
              <w:rPr>
                <w:noProof/>
              </w:rPr>
              <w:drawing>
                <wp:inline distT="0" distB="0" distL="0" distR="0" wp14:anchorId="6FE333DC" wp14:editId="67CBFF90">
                  <wp:extent cx="576000" cy="576000"/>
                  <wp:effectExtent l="0" t="0" r="0" b="0"/>
                  <wp:docPr id="8" name="Picture 8"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2685" w:type="dxa"/>
            <w:tcBorders>
              <w:top w:val="single" w:sz="6" w:space="0" w:color="auto"/>
              <w:left w:val="nil"/>
              <w:bottom w:val="single" w:sz="6" w:space="0" w:color="auto"/>
              <w:right w:val="nil"/>
            </w:tcBorders>
            <w:tcMar>
              <w:top w:w="15" w:type="dxa"/>
              <w:left w:w="15" w:type="dxa"/>
              <w:bottom w:w="15" w:type="dxa"/>
              <w:right w:w="15" w:type="dxa"/>
            </w:tcMar>
          </w:tcPr>
          <w:p w14:paraId="132D5378" w14:textId="34413560" w:rsidR="02AFC879" w:rsidRDefault="02AFC879" w:rsidP="02AFC879">
            <w:pPr>
              <w:pStyle w:val="TableText"/>
              <w:rPr>
                <w:rFonts w:eastAsia="Arial" w:cs="Arial"/>
              </w:rPr>
            </w:pPr>
            <w:r w:rsidRPr="02AFC879">
              <w:rPr>
                <w:rFonts w:eastAsia="Arial" w:cs="Arial"/>
              </w:rPr>
              <w:t>Deliver Results</w:t>
            </w:r>
          </w:p>
        </w:tc>
        <w:tc>
          <w:tcPr>
            <w:tcW w:w="4845" w:type="dxa"/>
            <w:tcBorders>
              <w:top w:val="single" w:sz="6" w:space="0" w:color="auto"/>
              <w:left w:val="nil"/>
              <w:bottom w:val="single" w:sz="6" w:space="0" w:color="auto"/>
              <w:right w:val="nil"/>
            </w:tcBorders>
            <w:tcMar>
              <w:top w:w="15" w:type="dxa"/>
              <w:left w:w="15" w:type="dxa"/>
              <w:bottom w:w="15" w:type="dxa"/>
              <w:right w:w="15" w:type="dxa"/>
            </w:tcMar>
          </w:tcPr>
          <w:p w14:paraId="5B05C207" w14:textId="29414AD2" w:rsidR="02AFC879" w:rsidRDefault="02AFC879" w:rsidP="02AFC879">
            <w:pPr>
              <w:pStyle w:val="TableText"/>
              <w:rPr>
                <w:rFonts w:eastAsia="Arial" w:cs="Arial"/>
              </w:rPr>
            </w:pPr>
            <w:r w:rsidRPr="02AFC879">
              <w:rPr>
                <w:rFonts w:eastAsia="Arial" w:cs="Arial"/>
              </w:rPr>
              <w:t>Achieve results through the efficient use of resources and a commitment to quality outcomes</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32D31FAD" w14:textId="0A7F1200" w:rsidR="02AFC879" w:rsidRDefault="02AFC879" w:rsidP="02AFC879">
            <w:pPr>
              <w:pStyle w:val="TableText"/>
              <w:rPr>
                <w:rFonts w:eastAsia="Arial" w:cs="Arial"/>
              </w:rPr>
            </w:pPr>
            <w:r w:rsidRPr="02AFC879">
              <w:rPr>
                <w:rFonts w:eastAsia="Arial" w:cs="Arial"/>
              </w:rPr>
              <w:t>Intermediate</w:t>
            </w:r>
          </w:p>
        </w:tc>
      </w:tr>
      <w:tr w:rsidR="02AFC879" w14:paraId="0FBBA75F" w14:textId="77777777" w:rsidTr="02AFC879">
        <w:trPr>
          <w:trHeight w:val="300"/>
        </w:trPr>
        <w:tc>
          <w:tcPr>
            <w:tcW w:w="1275" w:type="dxa"/>
            <w:tcBorders>
              <w:top w:val="single" w:sz="6" w:space="0" w:color="auto"/>
              <w:left w:val="nil"/>
              <w:bottom w:val="single" w:sz="6" w:space="0" w:color="auto"/>
              <w:right w:val="nil"/>
            </w:tcBorders>
            <w:tcMar>
              <w:top w:w="15" w:type="dxa"/>
              <w:left w:w="15" w:type="dxa"/>
              <w:bottom w:w="15" w:type="dxa"/>
              <w:right w:w="15" w:type="dxa"/>
            </w:tcMar>
          </w:tcPr>
          <w:p w14:paraId="3BFD6D35" w14:textId="686CB89A" w:rsidR="02AFC879" w:rsidRDefault="003F13D8" w:rsidP="02AFC879">
            <w:pPr>
              <w:rPr>
                <w:rFonts w:eastAsia="Arial" w:cs="Arial"/>
                <w:sz w:val="20"/>
              </w:rPr>
            </w:pPr>
            <w:r>
              <w:rPr>
                <w:noProof/>
              </w:rPr>
              <w:drawing>
                <wp:inline distT="0" distB="0" distL="0" distR="0" wp14:anchorId="2DF2E747" wp14:editId="5A9F67E2">
                  <wp:extent cx="576000" cy="576000"/>
                  <wp:effectExtent l="0" t="0" r="0" b="0"/>
                  <wp:docPr id="9" name="Picture 9"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2685" w:type="dxa"/>
            <w:tcBorders>
              <w:top w:val="single" w:sz="6" w:space="0" w:color="auto"/>
              <w:left w:val="nil"/>
              <w:bottom w:val="single" w:sz="6" w:space="0" w:color="auto"/>
              <w:right w:val="nil"/>
            </w:tcBorders>
            <w:tcMar>
              <w:top w:w="15" w:type="dxa"/>
              <w:left w:w="15" w:type="dxa"/>
              <w:bottom w:w="15" w:type="dxa"/>
              <w:right w:w="15" w:type="dxa"/>
            </w:tcMar>
          </w:tcPr>
          <w:p w14:paraId="524F3208" w14:textId="28151192" w:rsidR="02AFC879" w:rsidRDefault="02AFC879" w:rsidP="02AFC879">
            <w:pPr>
              <w:pStyle w:val="TableText"/>
              <w:rPr>
                <w:rFonts w:eastAsia="Arial" w:cs="Arial"/>
              </w:rPr>
            </w:pPr>
            <w:r w:rsidRPr="02AFC879">
              <w:rPr>
                <w:rFonts w:eastAsia="Arial" w:cs="Arial"/>
              </w:rPr>
              <w:t xml:space="preserve">Plan and </w:t>
            </w:r>
            <w:proofErr w:type="gramStart"/>
            <w:r w:rsidRPr="02AFC879">
              <w:rPr>
                <w:rFonts w:eastAsia="Arial" w:cs="Arial"/>
              </w:rPr>
              <w:t>Prioritise</w:t>
            </w:r>
            <w:proofErr w:type="gramEnd"/>
          </w:p>
        </w:tc>
        <w:tc>
          <w:tcPr>
            <w:tcW w:w="4845" w:type="dxa"/>
            <w:tcBorders>
              <w:top w:val="single" w:sz="6" w:space="0" w:color="auto"/>
              <w:left w:val="nil"/>
              <w:bottom w:val="single" w:sz="6" w:space="0" w:color="auto"/>
              <w:right w:val="nil"/>
            </w:tcBorders>
            <w:tcMar>
              <w:top w:w="15" w:type="dxa"/>
              <w:left w:w="15" w:type="dxa"/>
              <w:bottom w:w="15" w:type="dxa"/>
              <w:right w:w="15" w:type="dxa"/>
            </w:tcMar>
          </w:tcPr>
          <w:p w14:paraId="45E99DEC" w14:textId="714B1054" w:rsidR="02AFC879" w:rsidRDefault="02AFC879" w:rsidP="02AFC879">
            <w:pPr>
              <w:pStyle w:val="TableText"/>
              <w:rPr>
                <w:rFonts w:eastAsia="Arial" w:cs="Arial"/>
              </w:rPr>
            </w:pPr>
            <w:r w:rsidRPr="02AFC879">
              <w:rPr>
                <w:rFonts w:eastAsia="Arial" w:cs="Arial"/>
              </w:rPr>
              <w:t>Plan to achieve priority outcomes and respond flexibly to changing circumstances</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5E9A52C2" w14:textId="2BD79BCC" w:rsidR="02AFC879" w:rsidRDefault="02AFC879" w:rsidP="02AFC879">
            <w:pPr>
              <w:pStyle w:val="TableText"/>
              <w:rPr>
                <w:rFonts w:eastAsia="Arial" w:cs="Arial"/>
              </w:rPr>
            </w:pPr>
            <w:r w:rsidRPr="02AFC879">
              <w:rPr>
                <w:rFonts w:eastAsia="Arial" w:cs="Arial"/>
              </w:rPr>
              <w:t>Adept</w:t>
            </w:r>
          </w:p>
        </w:tc>
      </w:tr>
      <w:tr w:rsidR="02AFC879" w14:paraId="7E9656A5" w14:textId="77777777" w:rsidTr="02AFC879">
        <w:trPr>
          <w:trHeight w:val="300"/>
        </w:trPr>
        <w:tc>
          <w:tcPr>
            <w:tcW w:w="1275" w:type="dxa"/>
            <w:tcBorders>
              <w:top w:val="single" w:sz="6" w:space="0" w:color="auto"/>
              <w:left w:val="nil"/>
              <w:bottom w:val="single" w:sz="6" w:space="0" w:color="auto"/>
              <w:right w:val="nil"/>
            </w:tcBorders>
            <w:tcMar>
              <w:top w:w="15" w:type="dxa"/>
              <w:left w:w="15" w:type="dxa"/>
              <w:bottom w:w="15" w:type="dxa"/>
              <w:right w:w="15" w:type="dxa"/>
            </w:tcMar>
          </w:tcPr>
          <w:p w14:paraId="01E76D10" w14:textId="4EB0FF77" w:rsidR="02AFC879" w:rsidRDefault="003F13D8" w:rsidP="02AFC879">
            <w:pPr>
              <w:rPr>
                <w:rFonts w:eastAsia="Arial" w:cs="Arial"/>
                <w:sz w:val="20"/>
              </w:rPr>
            </w:pPr>
            <w:r>
              <w:rPr>
                <w:noProof/>
              </w:rPr>
              <w:drawing>
                <wp:inline distT="0" distB="0" distL="0" distR="0" wp14:anchorId="77454853" wp14:editId="37F49F06">
                  <wp:extent cx="576000" cy="576000"/>
                  <wp:effectExtent l="0" t="0" r="0" b="0"/>
                  <wp:docPr id="10" name="Picture 10"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2685" w:type="dxa"/>
            <w:tcBorders>
              <w:top w:val="single" w:sz="6" w:space="0" w:color="auto"/>
              <w:left w:val="nil"/>
              <w:bottom w:val="single" w:sz="6" w:space="0" w:color="auto"/>
              <w:right w:val="nil"/>
            </w:tcBorders>
            <w:tcMar>
              <w:top w:w="15" w:type="dxa"/>
              <w:left w:w="15" w:type="dxa"/>
              <w:bottom w:w="15" w:type="dxa"/>
              <w:right w:w="15" w:type="dxa"/>
            </w:tcMar>
          </w:tcPr>
          <w:p w14:paraId="43A1DBF2" w14:textId="19E505FA" w:rsidR="02AFC879" w:rsidRDefault="02AFC879" w:rsidP="02AFC879">
            <w:pPr>
              <w:pStyle w:val="TableText"/>
              <w:rPr>
                <w:rFonts w:eastAsia="Arial" w:cs="Arial"/>
              </w:rPr>
            </w:pPr>
            <w:r w:rsidRPr="02AFC879">
              <w:rPr>
                <w:rFonts w:eastAsia="Arial" w:cs="Arial"/>
              </w:rPr>
              <w:t>Demonstrate Accountability</w:t>
            </w:r>
          </w:p>
        </w:tc>
        <w:tc>
          <w:tcPr>
            <w:tcW w:w="4845" w:type="dxa"/>
            <w:tcBorders>
              <w:top w:val="single" w:sz="6" w:space="0" w:color="auto"/>
              <w:left w:val="nil"/>
              <w:bottom w:val="single" w:sz="6" w:space="0" w:color="auto"/>
              <w:right w:val="nil"/>
            </w:tcBorders>
            <w:tcMar>
              <w:top w:w="15" w:type="dxa"/>
              <w:left w:w="15" w:type="dxa"/>
              <w:bottom w:w="15" w:type="dxa"/>
              <w:right w:w="15" w:type="dxa"/>
            </w:tcMar>
          </w:tcPr>
          <w:p w14:paraId="75E24195" w14:textId="07D507C4" w:rsidR="02AFC879" w:rsidRDefault="02AFC879" w:rsidP="02AFC879">
            <w:pPr>
              <w:pStyle w:val="TableText"/>
              <w:rPr>
                <w:rFonts w:eastAsia="Arial" w:cs="Arial"/>
              </w:rPr>
            </w:pPr>
            <w:r w:rsidRPr="02AFC879">
              <w:rPr>
                <w:rFonts w:eastAsia="Arial" w:cs="Arial"/>
              </w:rPr>
              <w:t>Be proactive and responsible for own actions, and adhere to legislation, policy and guidelines</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23E104A4" w14:textId="4FCC4916" w:rsidR="02AFC879" w:rsidRDefault="02AFC879" w:rsidP="02AFC879">
            <w:pPr>
              <w:pStyle w:val="TableText"/>
              <w:rPr>
                <w:rFonts w:eastAsia="Arial" w:cs="Arial"/>
              </w:rPr>
            </w:pPr>
            <w:r w:rsidRPr="02AFC879">
              <w:rPr>
                <w:rFonts w:eastAsia="Arial" w:cs="Arial"/>
              </w:rPr>
              <w:t>Intermediate</w:t>
            </w:r>
          </w:p>
        </w:tc>
      </w:tr>
      <w:tr w:rsidR="02AFC879" w14:paraId="62818D27" w14:textId="77777777" w:rsidTr="02AFC879">
        <w:trPr>
          <w:trHeight w:val="300"/>
        </w:trPr>
        <w:tc>
          <w:tcPr>
            <w:tcW w:w="1275" w:type="dxa"/>
            <w:tcBorders>
              <w:top w:val="single" w:sz="6" w:space="0" w:color="auto"/>
              <w:left w:val="nil"/>
              <w:bottom w:val="single" w:sz="6" w:space="0" w:color="auto"/>
              <w:right w:val="nil"/>
            </w:tcBorders>
            <w:tcMar>
              <w:top w:w="15" w:type="dxa"/>
              <w:left w:w="15" w:type="dxa"/>
              <w:bottom w:w="15" w:type="dxa"/>
              <w:right w:w="15" w:type="dxa"/>
            </w:tcMar>
          </w:tcPr>
          <w:p w14:paraId="6E9678BB" w14:textId="33C69241" w:rsidR="02AFC879" w:rsidRDefault="003F13D8" w:rsidP="02AFC879">
            <w:pPr>
              <w:rPr>
                <w:rFonts w:eastAsia="Arial" w:cs="Arial"/>
                <w:sz w:val="20"/>
              </w:rPr>
            </w:pPr>
            <w:r>
              <w:rPr>
                <w:noProof/>
              </w:rPr>
              <w:drawing>
                <wp:inline distT="0" distB="0" distL="0" distR="0" wp14:anchorId="63E59DC7" wp14:editId="136B29EE">
                  <wp:extent cx="576000" cy="576000"/>
                  <wp:effectExtent l="0" t="0" r="0" b="0"/>
                  <wp:docPr id="11" name="Picture 11"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2685" w:type="dxa"/>
            <w:tcBorders>
              <w:top w:val="single" w:sz="6" w:space="0" w:color="auto"/>
              <w:left w:val="nil"/>
              <w:bottom w:val="single" w:sz="6" w:space="0" w:color="auto"/>
              <w:right w:val="nil"/>
            </w:tcBorders>
            <w:tcMar>
              <w:top w:w="15" w:type="dxa"/>
              <w:left w:w="15" w:type="dxa"/>
              <w:bottom w:w="15" w:type="dxa"/>
              <w:right w:w="15" w:type="dxa"/>
            </w:tcMar>
          </w:tcPr>
          <w:p w14:paraId="5CE3900C" w14:textId="3E96F6CB" w:rsidR="02AFC879" w:rsidRDefault="02AFC879" w:rsidP="02AFC879">
            <w:pPr>
              <w:pStyle w:val="TableText"/>
              <w:rPr>
                <w:rFonts w:eastAsia="Arial" w:cs="Arial"/>
              </w:rPr>
            </w:pPr>
            <w:r w:rsidRPr="02AFC879">
              <w:rPr>
                <w:rFonts w:eastAsia="Arial" w:cs="Arial"/>
              </w:rPr>
              <w:t>Finance</w:t>
            </w:r>
          </w:p>
        </w:tc>
        <w:tc>
          <w:tcPr>
            <w:tcW w:w="4845" w:type="dxa"/>
            <w:tcBorders>
              <w:top w:val="single" w:sz="6" w:space="0" w:color="auto"/>
              <w:left w:val="nil"/>
              <w:bottom w:val="single" w:sz="6" w:space="0" w:color="auto"/>
              <w:right w:val="nil"/>
            </w:tcBorders>
            <w:tcMar>
              <w:top w:w="15" w:type="dxa"/>
              <w:left w:w="15" w:type="dxa"/>
              <w:bottom w:w="15" w:type="dxa"/>
              <w:right w:w="15" w:type="dxa"/>
            </w:tcMar>
          </w:tcPr>
          <w:p w14:paraId="0781FDA2" w14:textId="53125903" w:rsidR="02AFC879" w:rsidRDefault="02AFC879" w:rsidP="02AFC879">
            <w:pPr>
              <w:pStyle w:val="TableText"/>
              <w:rPr>
                <w:rFonts w:eastAsia="Arial" w:cs="Arial"/>
              </w:rPr>
            </w:pPr>
            <w:r w:rsidRPr="02AFC879">
              <w:rPr>
                <w:rFonts w:eastAsia="Arial" w:cs="Arial"/>
              </w:rPr>
              <w:t>Understand and apply financial processes to achieve value for money and minimise financial risk</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2452AEC2" w14:textId="0B5181D1" w:rsidR="02AFC879" w:rsidRDefault="02AFC879" w:rsidP="02AFC879">
            <w:pPr>
              <w:pStyle w:val="TableText"/>
              <w:rPr>
                <w:rFonts w:eastAsia="Arial" w:cs="Arial"/>
              </w:rPr>
            </w:pPr>
            <w:r w:rsidRPr="02AFC879">
              <w:rPr>
                <w:rFonts w:eastAsia="Arial" w:cs="Arial"/>
              </w:rPr>
              <w:t>Intermediate</w:t>
            </w:r>
          </w:p>
        </w:tc>
      </w:tr>
      <w:tr w:rsidR="02AFC879" w14:paraId="41B96052" w14:textId="77777777" w:rsidTr="02AFC879">
        <w:trPr>
          <w:trHeight w:val="300"/>
        </w:trPr>
        <w:tc>
          <w:tcPr>
            <w:tcW w:w="1275" w:type="dxa"/>
            <w:tcBorders>
              <w:top w:val="single" w:sz="6" w:space="0" w:color="auto"/>
              <w:left w:val="nil"/>
              <w:bottom w:val="single" w:sz="6" w:space="0" w:color="auto"/>
              <w:right w:val="nil"/>
            </w:tcBorders>
            <w:tcMar>
              <w:top w:w="15" w:type="dxa"/>
              <w:left w:w="15" w:type="dxa"/>
              <w:bottom w:w="15" w:type="dxa"/>
              <w:right w:w="15" w:type="dxa"/>
            </w:tcMar>
          </w:tcPr>
          <w:p w14:paraId="3240DA8C" w14:textId="44359698" w:rsidR="02AFC879" w:rsidRDefault="003F13D8" w:rsidP="02AFC879">
            <w:pPr>
              <w:rPr>
                <w:rFonts w:eastAsia="Arial" w:cs="Arial"/>
                <w:sz w:val="20"/>
              </w:rPr>
            </w:pPr>
            <w:r>
              <w:rPr>
                <w:noProof/>
              </w:rPr>
              <w:drawing>
                <wp:inline distT="0" distB="0" distL="0" distR="0" wp14:anchorId="56DF22BA" wp14:editId="0B4E9902">
                  <wp:extent cx="576000" cy="576000"/>
                  <wp:effectExtent l="0" t="0" r="0" b="0"/>
                  <wp:docPr id="13" name="Picture 13"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2685" w:type="dxa"/>
            <w:tcBorders>
              <w:top w:val="single" w:sz="6" w:space="0" w:color="auto"/>
              <w:left w:val="nil"/>
              <w:bottom w:val="single" w:sz="6" w:space="0" w:color="auto"/>
              <w:right w:val="nil"/>
            </w:tcBorders>
            <w:tcMar>
              <w:top w:w="15" w:type="dxa"/>
              <w:left w:w="15" w:type="dxa"/>
              <w:bottom w:w="15" w:type="dxa"/>
              <w:right w:w="15" w:type="dxa"/>
            </w:tcMar>
          </w:tcPr>
          <w:p w14:paraId="44498447" w14:textId="43F1E5D6" w:rsidR="02AFC879" w:rsidRDefault="02AFC879" w:rsidP="02AFC879">
            <w:pPr>
              <w:pStyle w:val="TableText"/>
              <w:rPr>
                <w:rFonts w:eastAsia="Arial" w:cs="Arial"/>
              </w:rPr>
            </w:pPr>
            <w:r w:rsidRPr="02AFC879">
              <w:rPr>
                <w:rFonts w:eastAsia="Arial" w:cs="Arial"/>
              </w:rPr>
              <w:t>Project Management</w:t>
            </w:r>
          </w:p>
        </w:tc>
        <w:tc>
          <w:tcPr>
            <w:tcW w:w="4845" w:type="dxa"/>
            <w:tcBorders>
              <w:top w:val="single" w:sz="6" w:space="0" w:color="auto"/>
              <w:left w:val="nil"/>
              <w:bottom w:val="single" w:sz="6" w:space="0" w:color="auto"/>
              <w:right w:val="nil"/>
            </w:tcBorders>
            <w:tcMar>
              <w:top w:w="15" w:type="dxa"/>
              <w:left w:w="15" w:type="dxa"/>
              <w:bottom w:w="15" w:type="dxa"/>
              <w:right w:w="15" w:type="dxa"/>
            </w:tcMar>
          </w:tcPr>
          <w:p w14:paraId="1A7AFB2C" w14:textId="05381B69" w:rsidR="02AFC879" w:rsidRDefault="02AFC879" w:rsidP="02AFC879">
            <w:pPr>
              <w:pStyle w:val="TableText"/>
              <w:rPr>
                <w:rFonts w:eastAsia="Arial" w:cs="Arial"/>
              </w:rPr>
            </w:pPr>
            <w:r w:rsidRPr="02AFC879">
              <w:rPr>
                <w:rFonts w:eastAsia="Arial" w:cs="Arial"/>
              </w:rPr>
              <w:t>Understand and apply effective planning, coordination and control methods</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5A95163A" w14:textId="5A18398B" w:rsidR="02AFC879" w:rsidRDefault="02AFC879" w:rsidP="02AFC879">
            <w:pPr>
              <w:pStyle w:val="TableText"/>
              <w:rPr>
                <w:rFonts w:eastAsia="Arial" w:cs="Arial"/>
              </w:rPr>
            </w:pPr>
            <w:r w:rsidRPr="02AFC879">
              <w:rPr>
                <w:rFonts w:eastAsia="Arial" w:cs="Arial"/>
              </w:rPr>
              <w:t>Intermediate</w:t>
            </w:r>
          </w:p>
        </w:tc>
      </w:tr>
      <w:tr w:rsidR="02AFC879" w14:paraId="37770FFA" w14:textId="77777777" w:rsidTr="02AFC879">
        <w:trPr>
          <w:trHeight w:val="300"/>
        </w:trPr>
        <w:tc>
          <w:tcPr>
            <w:tcW w:w="1275" w:type="dxa"/>
            <w:tcBorders>
              <w:top w:val="single" w:sz="6" w:space="0" w:color="auto"/>
              <w:left w:val="nil"/>
              <w:bottom w:val="single" w:sz="6" w:space="0" w:color="auto"/>
              <w:right w:val="nil"/>
            </w:tcBorders>
            <w:tcMar>
              <w:top w:w="15" w:type="dxa"/>
              <w:left w:w="15" w:type="dxa"/>
              <w:bottom w:w="15" w:type="dxa"/>
              <w:right w:w="15" w:type="dxa"/>
            </w:tcMar>
          </w:tcPr>
          <w:p w14:paraId="03AFA700" w14:textId="7BF5D581" w:rsidR="02AFC879" w:rsidRDefault="003F13D8" w:rsidP="02AFC879">
            <w:pPr>
              <w:rPr>
                <w:rFonts w:eastAsia="Arial" w:cs="Arial"/>
                <w:sz w:val="20"/>
              </w:rPr>
            </w:pPr>
            <w:r>
              <w:rPr>
                <w:noProof/>
              </w:rPr>
              <w:drawing>
                <wp:inline distT="0" distB="0" distL="0" distR="0" wp14:anchorId="210CB9AA" wp14:editId="67C75933">
                  <wp:extent cx="576000" cy="576000"/>
                  <wp:effectExtent l="0" t="0" r="0" b="0"/>
                  <wp:docPr id="14" name="Picture 14"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2685" w:type="dxa"/>
            <w:tcBorders>
              <w:top w:val="single" w:sz="6" w:space="0" w:color="auto"/>
              <w:left w:val="nil"/>
              <w:bottom w:val="single" w:sz="6" w:space="0" w:color="auto"/>
              <w:right w:val="nil"/>
            </w:tcBorders>
            <w:tcMar>
              <w:top w:w="15" w:type="dxa"/>
              <w:left w:w="15" w:type="dxa"/>
              <w:bottom w:w="15" w:type="dxa"/>
              <w:right w:w="15" w:type="dxa"/>
            </w:tcMar>
          </w:tcPr>
          <w:p w14:paraId="4A4E5477" w14:textId="63BC1223" w:rsidR="02AFC879" w:rsidRDefault="02AFC879" w:rsidP="02AFC879">
            <w:pPr>
              <w:pStyle w:val="TableText"/>
              <w:rPr>
                <w:rFonts w:eastAsia="Arial" w:cs="Arial"/>
              </w:rPr>
            </w:pPr>
            <w:r w:rsidRPr="02AFC879">
              <w:rPr>
                <w:rFonts w:eastAsia="Arial" w:cs="Arial"/>
              </w:rPr>
              <w:t>Inspire Direction and Purpose</w:t>
            </w:r>
          </w:p>
        </w:tc>
        <w:tc>
          <w:tcPr>
            <w:tcW w:w="4845" w:type="dxa"/>
            <w:tcBorders>
              <w:top w:val="single" w:sz="6" w:space="0" w:color="auto"/>
              <w:left w:val="nil"/>
              <w:bottom w:val="single" w:sz="6" w:space="0" w:color="auto"/>
              <w:right w:val="nil"/>
            </w:tcBorders>
            <w:tcMar>
              <w:top w:w="15" w:type="dxa"/>
              <w:left w:w="15" w:type="dxa"/>
              <w:bottom w:w="15" w:type="dxa"/>
              <w:right w:w="15" w:type="dxa"/>
            </w:tcMar>
          </w:tcPr>
          <w:p w14:paraId="20093D09" w14:textId="7CCE879B" w:rsidR="02AFC879" w:rsidRDefault="02AFC879" w:rsidP="02AFC879">
            <w:pPr>
              <w:pStyle w:val="TableText"/>
              <w:rPr>
                <w:rFonts w:eastAsia="Arial" w:cs="Arial"/>
              </w:rPr>
            </w:pPr>
            <w:r w:rsidRPr="02AFC879">
              <w:rPr>
                <w:rFonts w:eastAsia="Arial" w:cs="Arial"/>
              </w:rPr>
              <w:t>Communicate goals, priorities and vision, and recognise achievements</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7E1B4C30" w14:textId="0CD2E6C1" w:rsidR="02AFC879" w:rsidRDefault="02AFC879" w:rsidP="02AFC879">
            <w:pPr>
              <w:pStyle w:val="TableText"/>
              <w:rPr>
                <w:rFonts w:eastAsia="Arial" w:cs="Arial"/>
              </w:rPr>
            </w:pPr>
            <w:r w:rsidRPr="02AFC879">
              <w:rPr>
                <w:rFonts w:eastAsia="Arial" w:cs="Arial"/>
              </w:rPr>
              <w:t>Adept</w:t>
            </w:r>
          </w:p>
        </w:tc>
      </w:tr>
      <w:tr w:rsidR="02AFC879" w14:paraId="636A762B" w14:textId="77777777" w:rsidTr="02AFC879">
        <w:trPr>
          <w:trHeight w:val="300"/>
        </w:trPr>
        <w:tc>
          <w:tcPr>
            <w:tcW w:w="1275" w:type="dxa"/>
            <w:tcBorders>
              <w:top w:val="single" w:sz="6" w:space="0" w:color="auto"/>
              <w:left w:val="nil"/>
              <w:bottom w:val="single" w:sz="6" w:space="0" w:color="auto"/>
              <w:right w:val="nil"/>
            </w:tcBorders>
            <w:tcMar>
              <w:top w:w="15" w:type="dxa"/>
              <w:left w:w="15" w:type="dxa"/>
              <w:bottom w:w="15" w:type="dxa"/>
              <w:right w:w="15" w:type="dxa"/>
            </w:tcMar>
          </w:tcPr>
          <w:p w14:paraId="10D740BE" w14:textId="1795145C" w:rsidR="02AFC879" w:rsidRDefault="003F13D8" w:rsidP="02AFC879">
            <w:pPr>
              <w:rPr>
                <w:rFonts w:eastAsia="Arial" w:cs="Arial"/>
                <w:sz w:val="20"/>
              </w:rPr>
            </w:pPr>
            <w:r>
              <w:rPr>
                <w:noProof/>
              </w:rPr>
              <w:drawing>
                <wp:inline distT="0" distB="0" distL="0" distR="0" wp14:anchorId="4D3ABC7A" wp14:editId="615D70DB">
                  <wp:extent cx="576000" cy="576000"/>
                  <wp:effectExtent l="0" t="0" r="0" b="0"/>
                  <wp:docPr id="15" name="Picture 15"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2685" w:type="dxa"/>
            <w:tcBorders>
              <w:top w:val="single" w:sz="6" w:space="0" w:color="auto"/>
              <w:left w:val="nil"/>
              <w:bottom w:val="single" w:sz="6" w:space="0" w:color="auto"/>
              <w:right w:val="nil"/>
            </w:tcBorders>
            <w:tcMar>
              <w:top w:w="15" w:type="dxa"/>
              <w:left w:w="15" w:type="dxa"/>
              <w:bottom w:w="15" w:type="dxa"/>
              <w:right w:w="15" w:type="dxa"/>
            </w:tcMar>
          </w:tcPr>
          <w:p w14:paraId="55DEFFD8" w14:textId="12E6929C" w:rsidR="02AFC879" w:rsidRDefault="02AFC879" w:rsidP="02AFC879">
            <w:pPr>
              <w:pStyle w:val="TableText"/>
              <w:rPr>
                <w:rFonts w:eastAsia="Arial" w:cs="Arial"/>
              </w:rPr>
            </w:pPr>
            <w:r w:rsidRPr="02AFC879">
              <w:rPr>
                <w:rFonts w:eastAsia="Arial" w:cs="Arial"/>
              </w:rPr>
              <w:t>Optimise Business Outcomes</w:t>
            </w:r>
          </w:p>
        </w:tc>
        <w:tc>
          <w:tcPr>
            <w:tcW w:w="4845" w:type="dxa"/>
            <w:tcBorders>
              <w:top w:val="single" w:sz="6" w:space="0" w:color="auto"/>
              <w:left w:val="nil"/>
              <w:bottom w:val="single" w:sz="6" w:space="0" w:color="auto"/>
              <w:right w:val="nil"/>
            </w:tcBorders>
            <w:tcMar>
              <w:top w:w="15" w:type="dxa"/>
              <w:left w:w="15" w:type="dxa"/>
              <w:bottom w:w="15" w:type="dxa"/>
              <w:right w:w="15" w:type="dxa"/>
            </w:tcMar>
          </w:tcPr>
          <w:p w14:paraId="32C357D9" w14:textId="2CC1A5EB" w:rsidR="02AFC879" w:rsidRDefault="02AFC879" w:rsidP="02AFC879">
            <w:pPr>
              <w:pStyle w:val="TableText"/>
              <w:rPr>
                <w:rFonts w:eastAsia="Arial" w:cs="Arial"/>
              </w:rPr>
            </w:pPr>
            <w:r w:rsidRPr="02AFC879">
              <w:rPr>
                <w:rFonts w:eastAsia="Arial" w:cs="Arial"/>
              </w:rPr>
              <w:t>Manage people and resources effectively to achieve public value</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0DAFFFF4" w14:textId="0989F917" w:rsidR="02AFC879" w:rsidRDefault="02AFC879" w:rsidP="02AFC879">
            <w:pPr>
              <w:pStyle w:val="TableText"/>
              <w:rPr>
                <w:rFonts w:eastAsia="Arial" w:cs="Arial"/>
              </w:rPr>
            </w:pPr>
            <w:r w:rsidRPr="02AFC879">
              <w:rPr>
                <w:rFonts w:eastAsia="Arial" w:cs="Arial"/>
              </w:rPr>
              <w:t>Intermediate</w:t>
            </w:r>
          </w:p>
        </w:tc>
      </w:tr>
      <w:tr w:rsidR="02AFC879" w14:paraId="10A19B8A" w14:textId="77777777" w:rsidTr="02AFC879">
        <w:trPr>
          <w:trHeight w:val="300"/>
        </w:trPr>
        <w:tc>
          <w:tcPr>
            <w:tcW w:w="1275" w:type="dxa"/>
            <w:tcBorders>
              <w:top w:val="single" w:sz="6" w:space="0" w:color="auto"/>
              <w:left w:val="nil"/>
              <w:bottom w:val="single" w:sz="6" w:space="0" w:color="auto"/>
              <w:right w:val="nil"/>
            </w:tcBorders>
            <w:tcMar>
              <w:top w:w="15" w:type="dxa"/>
              <w:left w:w="15" w:type="dxa"/>
              <w:bottom w:w="15" w:type="dxa"/>
              <w:right w:w="15" w:type="dxa"/>
            </w:tcMar>
          </w:tcPr>
          <w:p w14:paraId="616E8CCE" w14:textId="5F4D2F00" w:rsidR="02AFC879" w:rsidRDefault="003F13D8" w:rsidP="02AFC879">
            <w:pPr>
              <w:rPr>
                <w:rFonts w:eastAsia="Arial" w:cs="Arial"/>
                <w:sz w:val="20"/>
              </w:rPr>
            </w:pPr>
            <w:r>
              <w:rPr>
                <w:noProof/>
              </w:rPr>
              <w:drawing>
                <wp:inline distT="0" distB="0" distL="0" distR="0" wp14:anchorId="2F10F4EF" wp14:editId="389137D0">
                  <wp:extent cx="576000" cy="576000"/>
                  <wp:effectExtent l="0" t="0" r="0" b="0"/>
                  <wp:docPr id="16" name="Picture 16"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2685" w:type="dxa"/>
            <w:tcBorders>
              <w:top w:val="single" w:sz="6" w:space="0" w:color="auto"/>
              <w:left w:val="nil"/>
              <w:bottom w:val="single" w:sz="6" w:space="0" w:color="auto"/>
              <w:right w:val="nil"/>
            </w:tcBorders>
            <w:tcMar>
              <w:top w:w="15" w:type="dxa"/>
              <w:left w:w="15" w:type="dxa"/>
              <w:bottom w:w="15" w:type="dxa"/>
              <w:right w:w="15" w:type="dxa"/>
            </w:tcMar>
          </w:tcPr>
          <w:p w14:paraId="7DDECD17" w14:textId="226EB940" w:rsidR="02AFC879" w:rsidRDefault="02AFC879" w:rsidP="02AFC879">
            <w:pPr>
              <w:pStyle w:val="TableText"/>
              <w:rPr>
                <w:rFonts w:eastAsia="Arial" w:cs="Arial"/>
              </w:rPr>
            </w:pPr>
            <w:r w:rsidRPr="02AFC879">
              <w:rPr>
                <w:rFonts w:eastAsia="Arial" w:cs="Arial"/>
              </w:rPr>
              <w:t>Manage Reform and Change</w:t>
            </w:r>
          </w:p>
        </w:tc>
        <w:tc>
          <w:tcPr>
            <w:tcW w:w="4845" w:type="dxa"/>
            <w:tcBorders>
              <w:top w:val="single" w:sz="6" w:space="0" w:color="auto"/>
              <w:left w:val="nil"/>
              <w:bottom w:val="single" w:sz="6" w:space="0" w:color="auto"/>
              <w:right w:val="nil"/>
            </w:tcBorders>
            <w:tcMar>
              <w:top w:w="15" w:type="dxa"/>
              <w:left w:w="15" w:type="dxa"/>
              <w:bottom w:w="15" w:type="dxa"/>
              <w:right w:w="15" w:type="dxa"/>
            </w:tcMar>
          </w:tcPr>
          <w:p w14:paraId="31A2E547" w14:textId="1E8E0D81" w:rsidR="02AFC879" w:rsidRDefault="02AFC879" w:rsidP="02AFC879">
            <w:pPr>
              <w:pStyle w:val="TableText"/>
              <w:rPr>
                <w:rFonts w:eastAsia="Arial" w:cs="Arial"/>
              </w:rPr>
            </w:pPr>
            <w:r w:rsidRPr="02AFC879">
              <w:rPr>
                <w:rFonts w:eastAsia="Arial" w:cs="Arial"/>
              </w:rPr>
              <w:t>Support, promote and champion change, and assist others to engage with change</w:t>
            </w:r>
          </w:p>
        </w:tc>
        <w:tc>
          <w:tcPr>
            <w:tcW w:w="1665" w:type="dxa"/>
            <w:tcBorders>
              <w:top w:val="single" w:sz="6" w:space="0" w:color="auto"/>
              <w:left w:val="nil"/>
              <w:bottom w:val="single" w:sz="6" w:space="0" w:color="auto"/>
              <w:right w:val="nil"/>
            </w:tcBorders>
            <w:tcMar>
              <w:top w:w="15" w:type="dxa"/>
              <w:left w:w="15" w:type="dxa"/>
              <w:bottom w:w="15" w:type="dxa"/>
              <w:right w:w="15" w:type="dxa"/>
            </w:tcMar>
          </w:tcPr>
          <w:p w14:paraId="4527BB65" w14:textId="433248A2" w:rsidR="02AFC879" w:rsidRDefault="02AFC879" w:rsidP="02AFC879">
            <w:pPr>
              <w:pStyle w:val="TableText"/>
              <w:rPr>
                <w:rFonts w:eastAsia="Arial" w:cs="Arial"/>
              </w:rPr>
            </w:pPr>
            <w:r w:rsidRPr="02AFC879">
              <w:rPr>
                <w:rFonts w:eastAsia="Arial" w:cs="Arial"/>
              </w:rPr>
              <w:t>Intermediate</w:t>
            </w:r>
          </w:p>
        </w:tc>
      </w:tr>
    </w:tbl>
    <w:p w14:paraId="67B2C38E" w14:textId="4DEE3FB3" w:rsidR="02AFC879" w:rsidRDefault="02AFC879" w:rsidP="02AFC879">
      <w:pPr>
        <w:pStyle w:val="PlainText"/>
        <w:spacing w:before="62" w:line="276" w:lineRule="auto"/>
        <w:rPr>
          <w:rFonts w:eastAsiaTheme="minorEastAsia"/>
          <w:lang w:val="en-US"/>
        </w:rPr>
      </w:pPr>
    </w:p>
    <w:sectPr w:rsidR="02AFC879" w:rsidSect="00115AF2">
      <w:footerReference w:type="default" r:id="rId20"/>
      <w:footerReference w:type="first" r:id="rId21"/>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86EEC" w14:textId="77777777" w:rsidR="00946FFF" w:rsidRDefault="00946FFF" w:rsidP="00AC273D">
      <w:pPr>
        <w:spacing w:after="0"/>
      </w:pPr>
      <w:r>
        <w:separator/>
      </w:r>
    </w:p>
  </w:endnote>
  <w:endnote w:type="continuationSeparator" w:id="0">
    <w:p w14:paraId="6F896C1F" w14:textId="77777777" w:rsidR="00946FFF" w:rsidRDefault="00946FFF" w:rsidP="00AC273D">
      <w:pPr>
        <w:spacing w:after="0"/>
      </w:pPr>
      <w:r>
        <w:continuationSeparator/>
      </w:r>
    </w:p>
  </w:endnote>
  <w:endnote w:type="continuationNotice" w:id="1">
    <w:p w14:paraId="2AEC60E0" w14:textId="77777777" w:rsidR="00946FFF" w:rsidRDefault="00946F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CCA1" w14:textId="7F25BB5B" w:rsidR="00115AF2" w:rsidRDefault="00115AF2" w:rsidP="00F20050">
    <w:pPr>
      <w:pStyle w:val="Footer"/>
      <w:tabs>
        <w:tab w:val="clear" w:pos="4513"/>
        <w:tab w:val="center" w:pos="5103"/>
      </w:tabs>
    </w:pPr>
    <w:r w:rsidRPr="00E97E4E">
      <w:rPr>
        <w:color w:val="262626" w:themeColor="text1" w:themeTint="D9"/>
      </w:rPr>
      <w:t xml:space="preserve">Role Description </w:t>
    </w:r>
    <w:r w:rsidR="00157808">
      <w:rPr>
        <w:color w:val="262626" w:themeColor="text1" w:themeTint="D9"/>
      </w:rPr>
      <w:t>Team Lead</w:t>
    </w:r>
    <w:r w:rsidR="002941FE">
      <w:rPr>
        <w:color w:val="262626" w:themeColor="text1" w:themeTint="D9"/>
      </w:rPr>
      <w:t xml:space="preserve"> </w:t>
    </w:r>
    <w:r w:rsidR="00C03CAD">
      <w:rPr>
        <w:color w:val="262626" w:themeColor="text1" w:themeTint="D9"/>
      </w:rPr>
      <w:t xml:space="preserve">Library and </w:t>
    </w:r>
    <w:r w:rsidR="00867474">
      <w:rPr>
        <w:color w:val="262626" w:themeColor="text1" w:themeTint="D9"/>
      </w:rPr>
      <w:t>Information</w:t>
    </w:r>
    <w:r w:rsidR="002941FE">
      <w:rPr>
        <w:color w:val="262626" w:themeColor="text1" w:themeTint="D9"/>
      </w:rPr>
      <w:t xml:space="preserve"> Services</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78F06461" wp14:editId="3947D98C">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3281490E" w14:textId="77777777" w:rsidR="00A90F97" w:rsidRPr="001E2B26" w:rsidRDefault="00A90F97" w:rsidP="00051237">
    <w:pPr>
      <w:pStyle w:val="Footer"/>
      <w:rPr>
        <w:sz w:val="12"/>
        <w:szCs w:val="12"/>
      </w:rPr>
    </w:pPr>
  </w:p>
  <w:p w14:paraId="24DC6EA3"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6484"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278CE216"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14719087" wp14:editId="63C23527">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62CA406E"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487BC" w14:textId="77777777" w:rsidR="00946FFF" w:rsidRDefault="00946FFF" w:rsidP="00AC273D">
      <w:pPr>
        <w:spacing w:after="0"/>
      </w:pPr>
      <w:r>
        <w:separator/>
      </w:r>
    </w:p>
  </w:footnote>
  <w:footnote w:type="continuationSeparator" w:id="0">
    <w:p w14:paraId="41AC330A" w14:textId="77777777" w:rsidR="00946FFF" w:rsidRDefault="00946FFF" w:rsidP="00AC273D">
      <w:pPr>
        <w:spacing w:after="0"/>
      </w:pPr>
      <w:r>
        <w:continuationSeparator/>
      </w:r>
    </w:p>
  </w:footnote>
  <w:footnote w:type="continuationNotice" w:id="1">
    <w:p w14:paraId="51AAF981" w14:textId="77777777" w:rsidR="00946FFF" w:rsidRDefault="00946F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38D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9E2807"/>
    <w:multiLevelType w:val="hybridMultilevel"/>
    <w:tmpl w:val="1ACA0942"/>
    <w:lvl w:ilvl="0" w:tplc="71D473B8">
      <w:start w:val="1"/>
      <w:numFmt w:val="bullet"/>
      <w:lvlText w:val=""/>
      <w:lvlJc w:val="left"/>
      <w:pPr>
        <w:ind w:left="360" w:hanging="360"/>
      </w:pPr>
      <w:rPr>
        <w:rFonts w:ascii="Symbol" w:hAnsi="Symbol" w:hint="default"/>
      </w:rPr>
    </w:lvl>
    <w:lvl w:ilvl="1" w:tplc="E0C21E72">
      <w:start w:val="1"/>
      <w:numFmt w:val="bullet"/>
      <w:lvlText w:val="o"/>
      <w:lvlJc w:val="left"/>
      <w:pPr>
        <w:ind w:left="1440" w:hanging="360"/>
      </w:pPr>
      <w:rPr>
        <w:rFonts w:ascii="Courier New" w:hAnsi="Courier New" w:hint="default"/>
      </w:rPr>
    </w:lvl>
    <w:lvl w:ilvl="2" w:tplc="45E84030">
      <w:start w:val="1"/>
      <w:numFmt w:val="bullet"/>
      <w:lvlText w:val=""/>
      <w:lvlJc w:val="left"/>
      <w:pPr>
        <w:ind w:left="2160" w:hanging="360"/>
      </w:pPr>
      <w:rPr>
        <w:rFonts w:ascii="Wingdings" w:hAnsi="Wingdings" w:hint="default"/>
      </w:rPr>
    </w:lvl>
    <w:lvl w:ilvl="3" w:tplc="FA2AE354">
      <w:start w:val="1"/>
      <w:numFmt w:val="bullet"/>
      <w:lvlText w:val=""/>
      <w:lvlJc w:val="left"/>
      <w:pPr>
        <w:ind w:left="2880" w:hanging="360"/>
      </w:pPr>
      <w:rPr>
        <w:rFonts w:ascii="Symbol" w:hAnsi="Symbol" w:hint="default"/>
      </w:rPr>
    </w:lvl>
    <w:lvl w:ilvl="4" w:tplc="B682301C">
      <w:start w:val="1"/>
      <w:numFmt w:val="bullet"/>
      <w:lvlText w:val="o"/>
      <w:lvlJc w:val="left"/>
      <w:pPr>
        <w:ind w:left="3600" w:hanging="360"/>
      </w:pPr>
      <w:rPr>
        <w:rFonts w:ascii="Courier New" w:hAnsi="Courier New" w:hint="default"/>
      </w:rPr>
    </w:lvl>
    <w:lvl w:ilvl="5" w:tplc="2110D9C4">
      <w:start w:val="1"/>
      <w:numFmt w:val="bullet"/>
      <w:lvlText w:val=""/>
      <w:lvlJc w:val="left"/>
      <w:pPr>
        <w:ind w:left="4320" w:hanging="360"/>
      </w:pPr>
      <w:rPr>
        <w:rFonts w:ascii="Wingdings" w:hAnsi="Wingdings" w:hint="default"/>
      </w:rPr>
    </w:lvl>
    <w:lvl w:ilvl="6" w:tplc="C4DE156E">
      <w:start w:val="1"/>
      <w:numFmt w:val="bullet"/>
      <w:lvlText w:val=""/>
      <w:lvlJc w:val="left"/>
      <w:pPr>
        <w:ind w:left="5040" w:hanging="360"/>
      </w:pPr>
      <w:rPr>
        <w:rFonts w:ascii="Symbol" w:hAnsi="Symbol" w:hint="default"/>
      </w:rPr>
    </w:lvl>
    <w:lvl w:ilvl="7" w:tplc="74D6BFF8">
      <w:start w:val="1"/>
      <w:numFmt w:val="bullet"/>
      <w:lvlText w:val="o"/>
      <w:lvlJc w:val="left"/>
      <w:pPr>
        <w:ind w:left="5760" w:hanging="360"/>
      </w:pPr>
      <w:rPr>
        <w:rFonts w:ascii="Courier New" w:hAnsi="Courier New" w:hint="default"/>
      </w:rPr>
    </w:lvl>
    <w:lvl w:ilvl="8" w:tplc="05C23444">
      <w:start w:val="1"/>
      <w:numFmt w:val="bullet"/>
      <w:lvlText w:val=""/>
      <w:lvlJc w:val="left"/>
      <w:pPr>
        <w:ind w:left="6480" w:hanging="360"/>
      </w:pPr>
      <w:rPr>
        <w:rFonts w:ascii="Wingdings" w:hAnsi="Wingdings" w:hint="default"/>
      </w:rPr>
    </w:lvl>
  </w:abstractNum>
  <w:abstractNum w:abstractNumId="1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584BB5"/>
    <w:multiLevelType w:val="hybridMultilevel"/>
    <w:tmpl w:val="2ECEF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9795B86"/>
    <w:multiLevelType w:val="hybridMultilevel"/>
    <w:tmpl w:val="E272B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700944">
    <w:abstractNumId w:val="10"/>
  </w:num>
  <w:num w:numId="2" w16cid:durableId="1837257100">
    <w:abstractNumId w:val="9"/>
  </w:num>
  <w:num w:numId="3" w16cid:durableId="917715851">
    <w:abstractNumId w:val="7"/>
  </w:num>
  <w:num w:numId="4" w16cid:durableId="914510616">
    <w:abstractNumId w:val="6"/>
  </w:num>
  <w:num w:numId="5" w16cid:durableId="392168891">
    <w:abstractNumId w:val="5"/>
  </w:num>
  <w:num w:numId="6" w16cid:durableId="575288317">
    <w:abstractNumId w:val="4"/>
  </w:num>
  <w:num w:numId="7" w16cid:durableId="1113675594">
    <w:abstractNumId w:val="8"/>
  </w:num>
  <w:num w:numId="8" w16cid:durableId="674384421">
    <w:abstractNumId w:val="3"/>
  </w:num>
  <w:num w:numId="9" w16cid:durableId="396518066">
    <w:abstractNumId w:val="2"/>
  </w:num>
  <w:num w:numId="10" w16cid:durableId="1507208571">
    <w:abstractNumId w:val="1"/>
  </w:num>
  <w:num w:numId="11" w16cid:durableId="1250981">
    <w:abstractNumId w:val="0"/>
  </w:num>
  <w:num w:numId="12" w16cid:durableId="1232078066">
    <w:abstractNumId w:val="16"/>
  </w:num>
  <w:num w:numId="13" w16cid:durableId="1340038712">
    <w:abstractNumId w:val="15"/>
  </w:num>
  <w:num w:numId="14" w16cid:durableId="276058904">
    <w:abstractNumId w:val="13"/>
  </w:num>
  <w:num w:numId="15" w16cid:durableId="1572694667">
    <w:abstractNumId w:val="11"/>
  </w:num>
  <w:num w:numId="16" w16cid:durableId="764301623">
    <w:abstractNumId w:val="9"/>
  </w:num>
  <w:num w:numId="17" w16cid:durableId="1015115528">
    <w:abstractNumId w:val="14"/>
  </w:num>
  <w:num w:numId="18" w16cid:durableId="2079092171">
    <w:abstractNumId w:val="9"/>
  </w:num>
  <w:num w:numId="19" w16cid:durableId="800851821">
    <w:abstractNumId w:val="12"/>
  </w:num>
  <w:num w:numId="20" w16cid:durableId="53851075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7A"/>
    <w:rsid w:val="000004A7"/>
    <w:rsid w:val="0000267F"/>
    <w:rsid w:val="0000314D"/>
    <w:rsid w:val="000044A0"/>
    <w:rsid w:val="00006660"/>
    <w:rsid w:val="0001128F"/>
    <w:rsid w:val="00014206"/>
    <w:rsid w:val="00014E98"/>
    <w:rsid w:val="00014EB8"/>
    <w:rsid w:val="000151A9"/>
    <w:rsid w:val="00021C23"/>
    <w:rsid w:val="0002250D"/>
    <w:rsid w:val="000227A8"/>
    <w:rsid w:val="0002436B"/>
    <w:rsid w:val="0002595E"/>
    <w:rsid w:val="0002637C"/>
    <w:rsid w:val="0003077E"/>
    <w:rsid w:val="00030C9C"/>
    <w:rsid w:val="00031E32"/>
    <w:rsid w:val="000364C7"/>
    <w:rsid w:val="0003659D"/>
    <w:rsid w:val="000375D5"/>
    <w:rsid w:val="00041789"/>
    <w:rsid w:val="00042261"/>
    <w:rsid w:val="00042681"/>
    <w:rsid w:val="00043B92"/>
    <w:rsid w:val="000440C3"/>
    <w:rsid w:val="00045975"/>
    <w:rsid w:val="000477E1"/>
    <w:rsid w:val="00050CD8"/>
    <w:rsid w:val="00051237"/>
    <w:rsid w:val="000550BE"/>
    <w:rsid w:val="00055D71"/>
    <w:rsid w:val="000564AF"/>
    <w:rsid w:val="000575F8"/>
    <w:rsid w:val="00057CB3"/>
    <w:rsid w:val="00057FCB"/>
    <w:rsid w:val="000618BB"/>
    <w:rsid w:val="0006207C"/>
    <w:rsid w:val="000626FD"/>
    <w:rsid w:val="00062859"/>
    <w:rsid w:val="0006316C"/>
    <w:rsid w:val="00065636"/>
    <w:rsid w:val="00066D0D"/>
    <w:rsid w:val="000673A1"/>
    <w:rsid w:val="00071200"/>
    <w:rsid w:val="00073F1E"/>
    <w:rsid w:val="000748C3"/>
    <w:rsid w:val="00074DAA"/>
    <w:rsid w:val="000758D0"/>
    <w:rsid w:val="00076EAB"/>
    <w:rsid w:val="00077B45"/>
    <w:rsid w:val="00077DFF"/>
    <w:rsid w:val="0008547B"/>
    <w:rsid w:val="00086B43"/>
    <w:rsid w:val="00090399"/>
    <w:rsid w:val="00090522"/>
    <w:rsid w:val="000909DF"/>
    <w:rsid w:val="0009116E"/>
    <w:rsid w:val="000915AA"/>
    <w:rsid w:val="00092A99"/>
    <w:rsid w:val="00094054"/>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3B0"/>
    <w:rsid w:val="000C3951"/>
    <w:rsid w:val="000C453F"/>
    <w:rsid w:val="000D05E3"/>
    <w:rsid w:val="000E149C"/>
    <w:rsid w:val="000E264B"/>
    <w:rsid w:val="000E2D7E"/>
    <w:rsid w:val="000E326C"/>
    <w:rsid w:val="000E4DC1"/>
    <w:rsid w:val="000E5EE6"/>
    <w:rsid w:val="000E62E6"/>
    <w:rsid w:val="000F21C2"/>
    <w:rsid w:val="000F2309"/>
    <w:rsid w:val="000F2402"/>
    <w:rsid w:val="000F25FF"/>
    <w:rsid w:val="000F2AF7"/>
    <w:rsid w:val="000F3527"/>
    <w:rsid w:val="000F3CB4"/>
    <w:rsid w:val="000F3F7E"/>
    <w:rsid w:val="000F5C76"/>
    <w:rsid w:val="000F648C"/>
    <w:rsid w:val="00100337"/>
    <w:rsid w:val="001003F7"/>
    <w:rsid w:val="00100B50"/>
    <w:rsid w:val="00101B6A"/>
    <w:rsid w:val="00101F55"/>
    <w:rsid w:val="0010245F"/>
    <w:rsid w:val="00103875"/>
    <w:rsid w:val="00106323"/>
    <w:rsid w:val="00106A75"/>
    <w:rsid w:val="00110ADB"/>
    <w:rsid w:val="001130CE"/>
    <w:rsid w:val="0011338E"/>
    <w:rsid w:val="001142DA"/>
    <w:rsid w:val="00115AF2"/>
    <w:rsid w:val="0011627F"/>
    <w:rsid w:val="00116B0F"/>
    <w:rsid w:val="00116F0D"/>
    <w:rsid w:val="001203EE"/>
    <w:rsid w:val="00120A45"/>
    <w:rsid w:val="00120AB3"/>
    <w:rsid w:val="0012232D"/>
    <w:rsid w:val="00122685"/>
    <w:rsid w:val="00123E52"/>
    <w:rsid w:val="001240D1"/>
    <w:rsid w:val="001246B8"/>
    <w:rsid w:val="00126219"/>
    <w:rsid w:val="0012683A"/>
    <w:rsid w:val="00130BC5"/>
    <w:rsid w:val="001312F5"/>
    <w:rsid w:val="00132343"/>
    <w:rsid w:val="001357E4"/>
    <w:rsid w:val="0014452C"/>
    <w:rsid w:val="00145A58"/>
    <w:rsid w:val="00146A4F"/>
    <w:rsid w:val="0014725A"/>
    <w:rsid w:val="00155EFA"/>
    <w:rsid w:val="00157808"/>
    <w:rsid w:val="001612BF"/>
    <w:rsid w:val="00162154"/>
    <w:rsid w:val="00162275"/>
    <w:rsid w:val="001708F4"/>
    <w:rsid w:val="0017252E"/>
    <w:rsid w:val="00172A22"/>
    <w:rsid w:val="00173FD1"/>
    <w:rsid w:val="00174755"/>
    <w:rsid w:val="00176E9A"/>
    <w:rsid w:val="001772A3"/>
    <w:rsid w:val="001812C7"/>
    <w:rsid w:val="00185A2B"/>
    <w:rsid w:val="00186C79"/>
    <w:rsid w:val="00186F6C"/>
    <w:rsid w:val="001875E2"/>
    <w:rsid w:val="00187715"/>
    <w:rsid w:val="00190510"/>
    <w:rsid w:val="00191ACA"/>
    <w:rsid w:val="00191F05"/>
    <w:rsid w:val="001945A8"/>
    <w:rsid w:val="00194E0A"/>
    <w:rsid w:val="00195279"/>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997"/>
    <w:rsid w:val="001D6B1C"/>
    <w:rsid w:val="001D73CA"/>
    <w:rsid w:val="001E0F3B"/>
    <w:rsid w:val="001E2B26"/>
    <w:rsid w:val="001E507E"/>
    <w:rsid w:val="001E7CA4"/>
    <w:rsid w:val="001F010B"/>
    <w:rsid w:val="001F0E79"/>
    <w:rsid w:val="001F109B"/>
    <w:rsid w:val="001F3B8E"/>
    <w:rsid w:val="001F57B6"/>
    <w:rsid w:val="001F5938"/>
    <w:rsid w:val="001F618B"/>
    <w:rsid w:val="00202CD4"/>
    <w:rsid w:val="00203E4E"/>
    <w:rsid w:val="00210565"/>
    <w:rsid w:val="00213ED7"/>
    <w:rsid w:val="0021777A"/>
    <w:rsid w:val="00222CC4"/>
    <w:rsid w:val="002256A0"/>
    <w:rsid w:val="002273A6"/>
    <w:rsid w:val="0022781F"/>
    <w:rsid w:val="002347AA"/>
    <w:rsid w:val="00236002"/>
    <w:rsid w:val="00237136"/>
    <w:rsid w:val="00237CFF"/>
    <w:rsid w:val="00241196"/>
    <w:rsid w:val="002412B1"/>
    <w:rsid w:val="0024606E"/>
    <w:rsid w:val="00246BFC"/>
    <w:rsid w:val="00252BF9"/>
    <w:rsid w:val="00262212"/>
    <w:rsid w:val="00262F10"/>
    <w:rsid w:val="00271FAE"/>
    <w:rsid w:val="00273008"/>
    <w:rsid w:val="002735A9"/>
    <w:rsid w:val="00276AEC"/>
    <w:rsid w:val="00276D2E"/>
    <w:rsid w:val="0028049D"/>
    <w:rsid w:val="00280676"/>
    <w:rsid w:val="00284FE6"/>
    <w:rsid w:val="00285EA6"/>
    <w:rsid w:val="00285EF8"/>
    <w:rsid w:val="002863B5"/>
    <w:rsid w:val="00286B47"/>
    <w:rsid w:val="002872F7"/>
    <w:rsid w:val="002901B8"/>
    <w:rsid w:val="002941FE"/>
    <w:rsid w:val="00294E56"/>
    <w:rsid w:val="00297CDF"/>
    <w:rsid w:val="002A16D0"/>
    <w:rsid w:val="002A18A8"/>
    <w:rsid w:val="002A41AA"/>
    <w:rsid w:val="002A60C2"/>
    <w:rsid w:val="002B0616"/>
    <w:rsid w:val="002B27D4"/>
    <w:rsid w:val="002C458A"/>
    <w:rsid w:val="002D0251"/>
    <w:rsid w:val="002D4902"/>
    <w:rsid w:val="002D4927"/>
    <w:rsid w:val="002D4DE0"/>
    <w:rsid w:val="002D6639"/>
    <w:rsid w:val="002D7840"/>
    <w:rsid w:val="002E09D3"/>
    <w:rsid w:val="002E0E2D"/>
    <w:rsid w:val="002E11BF"/>
    <w:rsid w:val="002E1E69"/>
    <w:rsid w:val="002E3146"/>
    <w:rsid w:val="002F07BE"/>
    <w:rsid w:val="002F2400"/>
    <w:rsid w:val="002F2D26"/>
    <w:rsid w:val="002F5361"/>
    <w:rsid w:val="002F586E"/>
    <w:rsid w:val="002F692E"/>
    <w:rsid w:val="003000E8"/>
    <w:rsid w:val="00300442"/>
    <w:rsid w:val="003008BA"/>
    <w:rsid w:val="0030097A"/>
    <w:rsid w:val="003012C1"/>
    <w:rsid w:val="00301B57"/>
    <w:rsid w:val="00302551"/>
    <w:rsid w:val="00305043"/>
    <w:rsid w:val="00313043"/>
    <w:rsid w:val="00315AAE"/>
    <w:rsid w:val="003222A7"/>
    <w:rsid w:val="003232D0"/>
    <w:rsid w:val="003233A8"/>
    <w:rsid w:val="00324761"/>
    <w:rsid w:val="00324F2D"/>
    <w:rsid w:val="00325E8B"/>
    <w:rsid w:val="00326B2D"/>
    <w:rsid w:val="00327C35"/>
    <w:rsid w:val="00330331"/>
    <w:rsid w:val="00331913"/>
    <w:rsid w:val="00334ED9"/>
    <w:rsid w:val="0033590A"/>
    <w:rsid w:val="003361AE"/>
    <w:rsid w:val="0034373A"/>
    <w:rsid w:val="0034376C"/>
    <w:rsid w:val="00344A2E"/>
    <w:rsid w:val="003452C0"/>
    <w:rsid w:val="00347774"/>
    <w:rsid w:val="00347F09"/>
    <w:rsid w:val="00351878"/>
    <w:rsid w:val="00354809"/>
    <w:rsid w:val="003551DB"/>
    <w:rsid w:val="00355AB8"/>
    <w:rsid w:val="003564E0"/>
    <w:rsid w:val="00357A96"/>
    <w:rsid w:val="003605CF"/>
    <w:rsid w:val="003613F1"/>
    <w:rsid w:val="0036253D"/>
    <w:rsid w:val="00362BD4"/>
    <w:rsid w:val="0036321F"/>
    <w:rsid w:val="00365DAF"/>
    <w:rsid w:val="00366D36"/>
    <w:rsid w:val="00367351"/>
    <w:rsid w:val="00367CB5"/>
    <w:rsid w:val="0037183B"/>
    <w:rsid w:val="00372203"/>
    <w:rsid w:val="003726BA"/>
    <w:rsid w:val="00372FE9"/>
    <w:rsid w:val="00375A2D"/>
    <w:rsid w:val="00376812"/>
    <w:rsid w:val="00376972"/>
    <w:rsid w:val="003776D3"/>
    <w:rsid w:val="00385104"/>
    <w:rsid w:val="00385EAF"/>
    <w:rsid w:val="003904D7"/>
    <w:rsid w:val="00391226"/>
    <w:rsid w:val="00394D28"/>
    <w:rsid w:val="003A0131"/>
    <w:rsid w:val="003A081E"/>
    <w:rsid w:val="003A2E36"/>
    <w:rsid w:val="003A342B"/>
    <w:rsid w:val="003A3E82"/>
    <w:rsid w:val="003A4065"/>
    <w:rsid w:val="003A5831"/>
    <w:rsid w:val="003A6939"/>
    <w:rsid w:val="003B310A"/>
    <w:rsid w:val="003C05C1"/>
    <w:rsid w:val="003C0BA4"/>
    <w:rsid w:val="003C410C"/>
    <w:rsid w:val="003C4333"/>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13D8"/>
    <w:rsid w:val="003F1B36"/>
    <w:rsid w:val="003F22BD"/>
    <w:rsid w:val="003F2E7D"/>
    <w:rsid w:val="003F459D"/>
    <w:rsid w:val="003F58FA"/>
    <w:rsid w:val="003F667E"/>
    <w:rsid w:val="003F6E2B"/>
    <w:rsid w:val="003F7C59"/>
    <w:rsid w:val="00401128"/>
    <w:rsid w:val="0040290D"/>
    <w:rsid w:val="00402E6D"/>
    <w:rsid w:val="004117F0"/>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1AAD"/>
    <w:rsid w:val="004629AB"/>
    <w:rsid w:val="00466283"/>
    <w:rsid w:val="00470173"/>
    <w:rsid w:val="00470D08"/>
    <w:rsid w:val="00471DFC"/>
    <w:rsid w:val="0047302C"/>
    <w:rsid w:val="004750B2"/>
    <w:rsid w:val="00475E3E"/>
    <w:rsid w:val="00476F3C"/>
    <w:rsid w:val="00477577"/>
    <w:rsid w:val="004779F0"/>
    <w:rsid w:val="004809D1"/>
    <w:rsid w:val="00482EE6"/>
    <w:rsid w:val="0048351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22CF"/>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1832"/>
    <w:rsid w:val="00524886"/>
    <w:rsid w:val="00526D8B"/>
    <w:rsid w:val="00530754"/>
    <w:rsid w:val="005312F5"/>
    <w:rsid w:val="00531385"/>
    <w:rsid w:val="00531444"/>
    <w:rsid w:val="0053264A"/>
    <w:rsid w:val="00534988"/>
    <w:rsid w:val="005360FF"/>
    <w:rsid w:val="00540C8A"/>
    <w:rsid w:val="00542C52"/>
    <w:rsid w:val="00544127"/>
    <w:rsid w:val="00546A7D"/>
    <w:rsid w:val="005472AC"/>
    <w:rsid w:val="005505E4"/>
    <w:rsid w:val="00550DF7"/>
    <w:rsid w:val="00550F81"/>
    <w:rsid w:val="0055213E"/>
    <w:rsid w:val="00552A7A"/>
    <w:rsid w:val="00553980"/>
    <w:rsid w:val="00554A2C"/>
    <w:rsid w:val="00555B59"/>
    <w:rsid w:val="00556960"/>
    <w:rsid w:val="00556B43"/>
    <w:rsid w:val="0056018B"/>
    <w:rsid w:val="005612AD"/>
    <w:rsid w:val="0056690D"/>
    <w:rsid w:val="00566E7B"/>
    <w:rsid w:val="00567031"/>
    <w:rsid w:val="0056725F"/>
    <w:rsid w:val="005704C5"/>
    <w:rsid w:val="00570E7B"/>
    <w:rsid w:val="005713D4"/>
    <w:rsid w:val="005741B0"/>
    <w:rsid w:val="00575E21"/>
    <w:rsid w:val="005760A6"/>
    <w:rsid w:val="00576675"/>
    <w:rsid w:val="00576997"/>
    <w:rsid w:val="0058273B"/>
    <w:rsid w:val="005829CE"/>
    <w:rsid w:val="00582E73"/>
    <w:rsid w:val="005830BB"/>
    <w:rsid w:val="005840AF"/>
    <w:rsid w:val="00587229"/>
    <w:rsid w:val="0058762A"/>
    <w:rsid w:val="0058798D"/>
    <w:rsid w:val="00587A31"/>
    <w:rsid w:val="00591804"/>
    <w:rsid w:val="00593C33"/>
    <w:rsid w:val="00594A6C"/>
    <w:rsid w:val="00595E4B"/>
    <w:rsid w:val="00596C1A"/>
    <w:rsid w:val="00596EF3"/>
    <w:rsid w:val="005A17C5"/>
    <w:rsid w:val="005A229C"/>
    <w:rsid w:val="005A2572"/>
    <w:rsid w:val="005A28F1"/>
    <w:rsid w:val="005A2C7E"/>
    <w:rsid w:val="005A45D4"/>
    <w:rsid w:val="005B06A8"/>
    <w:rsid w:val="005B1841"/>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4FF"/>
    <w:rsid w:val="005E2A35"/>
    <w:rsid w:val="005E3DE9"/>
    <w:rsid w:val="005E6184"/>
    <w:rsid w:val="005E68C0"/>
    <w:rsid w:val="005F061A"/>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3692C"/>
    <w:rsid w:val="0064056C"/>
    <w:rsid w:val="00640B15"/>
    <w:rsid w:val="00641CB8"/>
    <w:rsid w:val="0064395B"/>
    <w:rsid w:val="00645B72"/>
    <w:rsid w:val="006506BC"/>
    <w:rsid w:val="00651CEC"/>
    <w:rsid w:val="00652BC7"/>
    <w:rsid w:val="006540AF"/>
    <w:rsid w:val="00654DC2"/>
    <w:rsid w:val="0065653A"/>
    <w:rsid w:val="00656EFD"/>
    <w:rsid w:val="006632B2"/>
    <w:rsid w:val="006633EF"/>
    <w:rsid w:val="00666D0F"/>
    <w:rsid w:val="00667FCB"/>
    <w:rsid w:val="00670228"/>
    <w:rsid w:val="006710B5"/>
    <w:rsid w:val="00671C3B"/>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6EC0"/>
    <w:rsid w:val="00697DF2"/>
    <w:rsid w:val="006A1D4E"/>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4C38"/>
    <w:rsid w:val="006F6540"/>
    <w:rsid w:val="006F7045"/>
    <w:rsid w:val="00700589"/>
    <w:rsid w:val="0070281C"/>
    <w:rsid w:val="00713D4E"/>
    <w:rsid w:val="00714210"/>
    <w:rsid w:val="0071546A"/>
    <w:rsid w:val="0071562A"/>
    <w:rsid w:val="0071682A"/>
    <w:rsid w:val="00716FD1"/>
    <w:rsid w:val="00717FA3"/>
    <w:rsid w:val="00720A00"/>
    <w:rsid w:val="00720F93"/>
    <w:rsid w:val="00721496"/>
    <w:rsid w:val="00721689"/>
    <w:rsid w:val="00723509"/>
    <w:rsid w:val="00723D21"/>
    <w:rsid w:val="007265DF"/>
    <w:rsid w:val="00726FBD"/>
    <w:rsid w:val="007273AA"/>
    <w:rsid w:val="007309C9"/>
    <w:rsid w:val="00731754"/>
    <w:rsid w:val="00732229"/>
    <w:rsid w:val="00732498"/>
    <w:rsid w:val="00732D8A"/>
    <w:rsid w:val="00733D92"/>
    <w:rsid w:val="007351FF"/>
    <w:rsid w:val="00735790"/>
    <w:rsid w:val="00735B24"/>
    <w:rsid w:val="0073782E"/>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31B3"/>
    <w:rsid w:val="0079471C"/>
    <w:rsid w:val="00796201"/>
    <w:rsid w:val="0079771E"/>
    <w:rsid w:val="007A3E74"/>
    <w:rsid w:val="007A5E76"/>
    <w:rsid w:val="007A6DF0"/>
    <w:rsid w:val="007B05B2"/>
    <w:rsid w:val="007B1BDE"/>
    <w:rsid w:val="007B230A"/>
    <w:rsid w:val="007B3114"/>
    <w:rsid w:val="007B3EDD"/>
    <w:rsid w:val="007B5A7A"/>
    <w:rsid w:val="007B7176"/>
    <w:rsid w:val="007B77DD"/>
    <w:rsid w:val="007C47A9"/>
    <w:rsid w:val="007C76D0"/>
    <w:rsid w:val="007C7AE1"/>
    <w:rsid w:val="007D0E9F"/>
    <w:rsid w:val="007D142B"/>
    <w:rsid w:val="007D6C1C"/>
    <w:rsid w:val="007D6D30"/>
    <w:rsid w:val="007E3E39"/>
    <w:rsid w:val="007E5048"/>
    <w:rsid w:val="007F1AE2"/>
    <w:rsid w:val="007F366D"/>
    <w:rsid w:val="007F3905"/>
    <w:rsid w:val="007F4BAB"/>
    <w:rsid w:val="007F5884"/>
    <w:rsid w:val="007F6001"/>
    <w:rsid w:val="007F6680"/>
    <w:rsid w:val="00800789"/>
    <w:rsid w:val="0080079A"/>
    <w:rsid w:val="00802CFE"/>
    <w:rsid w:val="00803E47"/>
    <w:rsid w:val="0080529D"/>
    <w:rsid w:val="008151FF"/>
    <w:rsid w:val="0081582E"/>
    <w:rsid w:val="00821C4C"/>
    <w:rsid w:val="00821E63"/>
    <w:rsid w:val="008223B3"/>
    <w:rsid w:val="00822B66"/>
    <w:rsid w:val="00822DC8"/>
    <w:rsid w:val="00823EC5"/>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474"/>
    <w:rsid w:val="00867E89"/>
    <w:rsid w:val="0087247B"/>
    <w:rsid w:val="008728A3"/>
    <w:rsid w:val="00873E3D"/>
    <w:rsid w:val="008744CA"/>
    <w:rsid w:val="00874C5E"/>
    <w:rsid w:val="00874DE9"/>
    <w:rsid w:val="00876968"/>
    <w:rsid w:val="00876FF3"/>
    <w:rsid w:val="00877505"/>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C2153"/>
    <w:rsid w:val="008D09CB"/>
    <w:rsid w:val="008D21B4"/>
    <w:rsid w:val="008D6E7A"/>
    <w:rsid w:val="008D774C"/>
    <w:rsid w:val="008E0207"/>
    <w:rsid w:val="008E2FD9"/>
    <w:rsid w:val="008E525F"/>
    <w:rsid w:val="008E52B8"/>
    <w:rsid w:val="008E562C"/>
    <w:rsid w:val="008E65A3"/>
    <w:rsid w:val="008E6C44"/>
    <w:rsid w:val="008F0E0C"/>
    <w:rsid w:val="008F12FD"/>
    <w:rsid w:val="008F1878"/>
    <w:rsid w:val="008F52FC"/>
    <w:rsid w:val="00901B0A"/>
    <w:rsid w:val="00906565"/>
    <w:rsid w:val="0090717A"/>
    <w:rsid w:val="00911600"/>
    <w:rsid w:val="0091160E"/>
    <w:rsid w:val="00911D8D"/>
    <w:rsid w:val="00913641"/>
    <w:rsid w:val="00913836"/>
    <w:rsid w:val="00914D86"/>
    <w:rsid w:val="0092000E"/>
    <w:rsid w:val="009210BA"/>
    <w:rsid w:val="009253FB"/>
    <w:rsid w:val="009258CF"/>
    <w:rsid w:val="00926E97"/>
    <w:rsid w:val="00927549"/>
    <w:rsid w:val="00927BEC"/>
    <w:rsid w:val="00930255"/>
    <w:rsid w:val="009302D1"/>
    <w:rsid w:val="009308C4"/>
    <w:rsid w:val="009308D4"/>
    <w:rsid w:val="00930BFE"/>
    <w:rsid w:val="00931E80"/>
    <w:rsid w:val="00933039"/>
    <w:rsid w:val="0093429D"/>
    <w:rsid w:val="00940120"/>
    <w:rsid w:val="00945108"/>
    <w:rsid w:val="00945CBA"/>
    <w:rsid w:val="00946FFF"/>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D09"/>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9AB"/>
    <w:rsid w:val="009B3B93"/>
    <w:rsid w:val="009C0731"/>
    <w:rsid w:val="009C10F5"/>
    <w:rsid w:val="009C2A70"/>
    <w:rsid w:val="009C2D0D"/>
    <w:rsid w:val="009C457A"/>
    <w:rsid w:val="009C726E"/>
    <w:rsid w:val="009D2ECB"/>
    <w:rsid w:val="009D32A7"/>
    <w:rsid w:val="009D367C"/>
    <w:rsid w:val="009D36AB"/>
    <w:rsid w:val="009D3EB2"/>
    <w:rsid w:val="009D7C79"/>
    <w:rsid w:val="009E00C2"/>
    <w:rsid w:val="009E0B71"/>
    <w:rsid w:val="009E39AD"/>
    <w:rsid w:val="009E3EA7"/>
    <w:rsid w:val="009E480D"/>
    <w:rsid w:val="009E4A5D"/>
    <w:rsid w:val="009E575C"/>
    <w:rsid w:val="009E597C"/>
    <w:rsid w:val="009E5EB9"/>
    <w:rsid w:val="009E6312"/>
    <w:rsid w:val="009F0890"/>
    <w:rsid w:val="009F0E18"/>
    <w:rsid w:val="009F182E"/>
    <w:rsid w:val="009F1CD9"/>
    <w:rsid w:val="009F565D"/>
    <w:rsid w:val="009F7524"/>
    <w:rsid w:val="00A00465"/>
    <w:rsid w:val="00A02257"/>
    <w:rsid w:val="00A02297"/>
    <w:rsid w:val="00A03790"/>
    <w:rsid w:val="00A057BA"/>
    <w:rsid w:val="00A0630F"/>
    <w:rsid w:val="00A06383"/>
    <w:rsid w:val="00A063C8"/>
    <w:rsid w:val="00A120AB"/>
    <w:rsid w:val="00A12535"/>
    <w:rsid w:val="00A12C75"/>
    <w:rsid w:val="00A14552"/>
    <w:rsid w:val="00A15CDB"/>
    <w:rsid w:val="00A17A94"/>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0FED"/>
    <w:rsid w:val="00A61EA7"/>
    <w:rsid w:val="00A64134"/>
    <w:rsid w:val="00A6603C"/>
    <w:rsid w:val="00A67BC8"/>
    <w:rsid w:val="00A71CEF"/>
    <w:rsid w:val="00A739DC"/>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4853"/>
    <w:rsid w:val="00AA4C82"/>
    <w:rsid w:val="00AA5F6D"/>
    <w:rsid w:val="00AA65F1"/>
    <w:rsid w:val="00AB096C"/>
    <w:rsid w:val="00AB0B56"/>
    <w:rsid w:val="00AB5DEE"/>
    <w:rsid w:val="00AB767C"/>
    <w:rsid w:val="00AC273D"/>
    <w:rsid w:val="00AC3EE2"/>
    <w:rsid w:val="00AC56BF"/>
    <w:rsid w:val="00AC56D6"/>
    <w:rsid w:val="00AC6C1E"/>
    <w:rsid w:val="00AC7D9E"/>
    <w:rsid w:val="00AD0875"/>
    <w:rsid w:val="00AD4152"/>
    <w:rsid w:val="00AD5945"/>
    <w:rsid w:val="00AE10EC"/>
    <w:rsid w:val="00AE2222"/>
    <w:rsid w:val="00AE75EA"/>
    <w:rsid w:val="00AF0507"/>
    <w:rsid w:val="00AF4777"/>
    <w:rsid w:val="00AF6C3D"/>
    <w:rsid w:val="00AF6C63"/>
    <w:rsid w:val="00B039AD"/>
    <w:rsid w:val="00B0402F"/>
    <w:rsid w:val="00B04165"/>
    <w:rsid w:val="00B04E23"/>
    <w:rsid w:val="00B0696D"/>
    <w:rsid w:val="00B0703F"/>
    <w:rsid w:val="00B07555"/>
    <w:rsid w:val="00B10EDF"/>
    <w:rsid w:val="00B1410C"/>
    <w:rsid w:val="00B2131F"/>
    <w:rsid w:val="00B223FE"/>
    <w:rsid w:val="00B229B3"/>
    <w:rsid w:val="00B24067"/>
    <w:rsid w:val="00B2603F"/>
    <w:rsid w:val="00B279BF"/>
    <w:rsid w:val="00B30FB5"/>
    <w:rsid w:val="00B3444D"/>
    <w:rsid w:val="00B3487F"/>
    <w:rsid w:val="00B35D7C"/>
    <w:rsid w:val="00B3664D"/>
    <w:rsid w:val="00B36ADB"/>
    <w:rsid w:val="00B37EC4"/>
    <w:rsid w:val="00B40DC6"/>
    <w:rsid w:val="00B40ED0"/>
    <w:rsid w:val="00B40F02"/>
    <w:rsid w:val="00B43C9C"/>
    <w:rsid w:val="00B43E6F"/>
    <w:rsid w:val="00B44FA0"/>
    <w:rsid w:val="00B46439"/>
    <w:rsid w:val="00B47F1B"/>
    <w:rsid w:val="00B50ED5"/>
    <w:rsid w:val="00B517C3"/>
    <w:rsid w:val="00B520FC"/>
    <w:rsid w:val="00B5348D"/>
    <w:rsid w:val="00B545C7"/>
    <w:rsid w:val="00B547F2"/>
    <w:rsid w:val="00B55B6C"/>
    <w:rsid w:val="00B56682"/>
    <w:rsid w:val="00B619EB"/>
    <w:rsid w:val="00B62300"/>
    <w:rsid w:val="00B6308A"/>
    <w:rsid w:val="00B6379C"/>
    <w:rsid w:val="00B65238"/>
    <w:rsid w:val="00B652C7"/>
    <w:rsid w:val="00B65548"/>
    <w:rsid w:val="00B67CEE"/>
    <w:rsid w:val="00B72341"/>
    <w:rsid w:val="00B7538A"/>
    <w:rsid w:val="00B75918"/>
    <w:rsid w:val="00B77A6A"/>
    <w:rsid w:val="00B80BAB"/>
    <w:rsid w:val="00B81F30"/>
    <w:rsid w:val="00B90F6F"/>
    <w:rsid w:val="00B91FB1"/>
    <w:rsid w:val="00B92BA2"/>
    <w:rsid w:val="00B92D96"/>
    <w:rsid w:val="00B93AF5"/>
    <w:rsid w:val="00BA0516"/>
    <w:rsid w:val="00BA2FCB"/>
    <w:rsid w:val="00BA36ED"/>
    <w:rsid w:val="00BA3815"/>
    <w:rsid w:val="00BA5022"/>
    <w:rsid w:val="00BA5174"/>
    <w:rsid w:val="00BA5759"/>
    <w:rsid w:val="00BA6905"/>
    <w:rsid w:val="00BC356C"/>
    <w:rsid w:val="00BC3F78"/>
    <w:rsid w:val="00BC4188"/>
    <w:rsid w:val="00BC543C"/>
    <w:rsid w:val="00BC78A9"/>
    <w:rsid w:val="00BD1219"/>
    <w:rsid w:val="00BD27E4"/>
    <w:rsid w:val="00BD4313"/>
    <w:rsid w:val="00BD7587"/>
    <w:rsid w:val="00BD79F4"/>
    <w:rsid w:val="00BE0851"/>
    <w:rsid w:val="00BE57E8"/>
    <w:rsid w:val="00BF0A1B"/>
    <w:rsid w:val="00BF3DFD"/>
    <w:rsid w:val="00BF4984"/>
    <w:rsid w:val="00BF5AC8"/>
    <w:rsid w:val="00BF659E"/>
    <w:rsid w:val="00C002B4"/>
    <w:rsid w:val="00C01728"/>
    <w:rsid w:val="00C01FA7"/>
    <w:rsid w:val="00C026B0"/>
    <w:rsid w:val="00C03CAD"/>
    <w:rsid w:val="00C041AA"/>
    <w:rsid w:val="00C04A88"/>
    <w:rsid w:val="00C0626A"/>
    <w:rsid w:val="00C06734"/>
    <w:rsid w:val="00C07262"/>
    <w:rsid w:val="00C07EBD"/>
    <w:rsid w:val="00C10251"/>
    <w:rsid w:val="00C102D2"/>
    <w:rsid w:val="00C138D1"/>
    <w:rsid w:val="00C13977"/>
    <w:rsid w:val="00C14928"/>
    <w:rsid w:val="00C15DAD"/>
    <w:rsid w:val="00C15E96"/>
    <w:rsid w:val="00C17097"/>
    <w:rsid w:val="00C223B9"/>
    <w:rsid w:val="00C22BDB"/>
    <w:rsid w:val="00C22C71"/>
    <w:rsid w:val="00C22FA8"/>
    <w:rsid w:val="00C23420"/>
    <w:rsid w:val="00C2371B"/>
    <w:rsid w:val="00C24A20"/>
    <w:rsid w:val="00C267D4"/>
    <w:rsid w:val="00C272EE"/>
    <w:rsid w:val="00C34914"/>
    <w:rsid w:val="00C362C0"/>
    <w:rsid w:val="00C365B8"/>
    <w:rsid w:val="00C443BB"/>
    <w:rsid w:val="00C45998"/>
    <w:rsid w:val="00C45AEA"/>
    <w:rsid w:val="00C47ADE"/>
    <w:rsid w:val="00C47CBA"/>
    <w:rsid w:val="00C47F9B"/>
    <w:rsid w:val="00C51A0A"/>
    <w:rsid w:val="00C54608"/>
    <w:rsid w:val="00C550B9"/>
    <w:rsid w:val="00C5547A"/>
    <w:rsid w:val="00C5778D"/>
    <w:rsid w:val="00C57959"/>
    <w:rsid w:val="00C61154"/>
    <w:rsid w:val="00C63BB5"/>
    <w:rsid w:val="00C64392"/>
    <w:rsid w:val="00C64BAF"/>
    <w:rsid w:val="00C661B3"/>
    <w:rsid w:val="00C67638"/>
    <w:rsid w:val="00C677C0"/>
    <w:rsid w:val="00C71ECA"/>
    <w:rsid w:val="00C746D4"/>
    <w:rsid w:val="00C75830"/>
    <w:rsid w:val="00C766F6"/>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67AC"/>
    <w:rsid w:val="00CB036C"/>
    <w:rsid w:val="00CB3D1A"/>
    <w:rsid w:val="00CB464E"/>
    <w:rsid w:val="00CB61A0"/>
    <w:rsid w:val="00CB75E5"/>
    <w:rsid w:val="00CC23EB"/>
    <w:rsid w:val="00CC2CD9"/>
    <w:rsid w:val="00CC2CE8"/>
    <w:rsid w:val="00CC3257"/>
    <w:rsid w:val="00CC47BF"/>
    <w:rsid w:val="00CC4986"/>
    <w:rsid w:val="00CC5817"/>
    <w:rsid w:val="00CC7C17"/>
    <w:rsid w:val="00CD3717"/>
    <w:rsid w:val="00CD41DB"/>
    <w:rsid w:val="00CD5CA8"/>
    <w:rsid w:val="00CD6BA6"/>
    <w:rsid w:val="00CE17D7"/>
    <w:rsid w:val="00CE5B1D"/>
    <w:rsid w:val="00CF008C"/>
    <w:rsid w:val="00CF0299"/>
    <w:rsid w:val="00CF10C6"/>
    <w:rsid w:val="00CF15AA"/>
    <w:rsid w:val="00CF4997"/>
    <w:rsid w:val="00D009F6"/>
    <w:rsid w:val="00D00AD1"/>
    <w:rsid w:val="00D01DB5"/>
    <w:rsid w:val="00D01DE9"/>
    <w:rsid w:val="00D03021"/>
    <w:rsid w:val="00D05B7B"/>
    <w:rsid w:val="00D10710"/>
    <w:rsid w:val="00D12FA3"/>
    <w:rsid w:val="00D145C0"/>
    <w:rsid w:val="00D146A6"/>
    <w:rsid w:val="00D201B3"/>
    <w:rsid w:val="00D248B7"/>
    <w:rsid w:val="00D24E35"/>
    <w:rsid w:val="00D2560A"/>
    <w:rsid w:val="00D25C96"/>
    <w:rsid w:val="00D26B31"/>
    <w:rsid w:val="00D2725D"/>
    <w:rsid w:val="00D30028"/>
    <w:rsid w:val="00D31E55"/>
    <w:rsid w:val="00D31F7B"/>
    <w:rsid w:val="00D336FE"/>
    <w:rsid w:val="00D34DFE"/>
    <w:rsid w:val="00D35E99"/>
    <w:rsid w:val="00D36670"/>
    <w:rsid w:val="00D37CC3"/>
    <w:rsid w:val="00D41B3C"/>
    <w:rsid w:val="00D47A43"/>
    <w:rsid w:val="00D50088"/>
    <w:rsid w:val="00D57BD0"/>
    <w:rsid w:val="00D60597"/>
    <w:rsid w:val="00D6122E"/>
    <w:rsid w:val="00D6282F"/>
    <w:rsid w:val="00D6356B"/>
    <w:rsid w:val="00D64474"/>
    <w:rsid w:val="00D64638"/>
    <w:rsid w:val="00D64C06"/>
    <w:rsid w:val="00D64DCD"/>
    <w:rsid w:val="00D66802"/>
    <w:rsid w:val="00D67A8B"/>
    <w:rsid w:val="00D74850"/>
    <w:rsid w:val="00D77D7D"/>
    <w:rsid w:val="00D8231D"/>
    <w:rsid w:val="00D83555"/>
    <w:rsid w:val="00D85025"/>
    <w:rsid w:val="00D87288"/>
    <w:rsid w:val="00D903AB"/>
    <w:rsid w:val="00D904C8"/>
    <w:rsid w:val="00D9203A"/>
    <w:rsid w:val="00D9376A"/>
    <w:rsid w:val="00D95C64"/>
    <w:rsid w:val="00D96261"/>
    <w:rsid w:val="00D973CA"/>
    <w:rsid w:val="00DA0A2D"/>
    <w:rsid w:val="00DA0A53"/>
    <w:rsid w:val="00DA27C4"/>
    <w:rsid w:val="00DA3502"/>
    <w:rsid w:val="00DA457E"/>
    <w:rsid w:val="00DA65BD"/>
    <w:rsid w:val="00DA6BE6"/>
    <w:rsid w:val="00DB0F65"/>
    <w:rsid w:val="00DB14CE"/>
    <w:rsid w:val="00DB24DA"/>
    <w:rsid w:val="00DB4946"/>
    <w:rsid w:val="00DC006B"/>
    <w:rsid w:val="00DC18CB"/>
    <w:rsid w:val="00DC338F"/>
    <w:rsid w:val="00DC3A8C"/>
    <w:rsid w:val="00DC400E"/>
    <w:rsid w:val="00DC4999"/>
    <w:rsid w:val="00DD0F46"/>
    <w:rsid w:val="00DD1135"/>
    <w:rsid w:val="00DD1535"/>
    <w:rsid w:val="00DD15D6"/>
    <w:rsid w:val="00DD2A58"/>
    <w:rsid w:val="00DD3989"/>
    <w:rsid w:val="00DD61DC"/>
    <w:rsid w:val="00DE1E21"/>
    <w:rsid w:val="00DE405D"/>
    <w:rsid w:val="00DE54F9"/>
    <w:rsid w:val="00DE6AF8"/>
    <w:rsid w:val="00DF23F0"/>
    <w:rsid w:val="00DF3DC9"/>
    <w:rsid w:val="00DF3F93"/>
    <w:rsid w:val="00DF42A4"/>
    <w:rsid w:val="00DF59CB"/>
    <w:rsid w:val="00E04F5B"/>
    <w:rsid w:val="00E058FB"/>
    <w:rsid w:val="00E0672D"/>
    <w:rsid w:val="00E0750F"/>
    <w:rsid w:val="00E10BFC"/>
    <w:rsid w:val="00E12DDA"/>
    <w:rsid w:val="00E135C5"/>
    <w:rsid w:val="00E158C8"/>
    <w:rsid w:val="00E167C1"/>
    <w:rsid w:val="00E22488"/>
    <w:rsid w:val="00E23F6C"/>
    <w:rsid w:val="00E2410D"/>
    <w:rsid w:val="00E24161"/>
    <w:rsid w:val="00E25BBE"/>
    <w:rsid w:val="00E26000"/>
    <w:rsid w:val="00E2699A"/>
    <w:rsid w:val="00E30E47"/>
    <w:rsid w:val="00E30F38"/>
    <w:rsid w:val="00E315F8"/>
    <w:rsid w:val="00E31B30"/>
    <w:rsid w:val="00E31CD3"/>
    <w:rsid w:val="00E334D8"/>
    <w:rsid w:val="00E36116"/>
    <w:rsid w:val="00E36C3B"/>
    <w:rsid w:val="00E37F8A"/>
    <w:rsid w:val="00E42376"/>
    <w:rsid w:val="00E4329E"/>
    <w:rsid w:val="00E4346B"/>
    <w:rsid w:val="00E43C5B"/>
    <w:rsid w:val="00E47676"/>
    <w:rsid w:val="00E47768"/>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3319"/>
    <w:rsid w:val="00E9766A"/>
    <w:rsid w:val="00E97B2E"/>
    <w:rsid w:val="00E97E4E"/>
    <w:rsid w:val="00EA0BC5"/>
    <w:rsid w:val="00EA2ACF"/>
    <w:rsid w:val="00EA2DF3"/>
    <w:rsid w:val="00EA5D0F"/>
    <w:rsid w:val="00EB277F"/>
    <w:rsid w:val="00EB431F"/>
    <w:rsid w:val="00EB4B7B"/>
    <w:rsid w:val="00EB5448"/>
    <w:rsid w:val="00EB5929"/>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4D1F"/>
    <w:rsid w:val="00EF4EA5"/>
    <w:rsid w:val="00EF5BA6"/>
    <w:rsid w:val="00EF6A76"/>
    <w:rsid w:val="00F035CC"/>
    <w:rsid w:val="00F05594"/>
    <w:rsid w:val="00F06811"/>
    <w:rsid w:val="00F06934"/>
    <w:rsid w:val="00F1031C"/>
    <w:rsid w:val="00F113D6"/>
    <w:rsid w:val="00F11AD1"/>
    <w:rsid w:val="00F12900"/>
    <w:rsid w:val="00F12E9D"/>
    <w:rsid w:val="00F13503"/>
    <w:rsid w:val="00F14555"/>
    <w:rsid w:val="00F14DF4"/>
    <w:rsid w:val="00F1584F"/>
    <w:rsid w:val="00F15E5E"/>
    <w:rsid w:val="00F20050"/>
    <w:rsid w:val="00F2024E"/>
    <w:rsid w:val="00F22826"/>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0513"/>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0F13"/>
    <w:rsid w:val="00F943D7"/>
    <w:rsid w:val="00F9774A"/>
    <w:rsid w:val="00FA1399"/>
    <w:rsid w:val="00FA190D"/>
    <w:rsid w:val="00FA3A77"/>
    <w:rsid w:val="00FA7304"/>
    <w:rsid w:val="00FB0070"/>
    <w:rsid w:val="00FB048D"/>
    <w:rsid w:val="00FB1347"/>
    <w:rsid w:val="00FB1668"/>
    <w:rsid w:val="00FB27B0"/>
    <w:rsid w:val="00FB6607"/>
    <w:rsid w:val="00FC1BDC"/>
    <w:rsid w:val="00FC1D6A"/>
    <w:rsid w:val="00FC2FCD"/>
    <w:rsid w:val="00FC3181"/>
    <w:rsid w:val="00FC41C4"/>
    <w:rsid w:val="00FC64E7"/>
    <w:rsid w:val="00FE270A"/>
    <w:rsid w:val="00FE3F43"/>
    <w:rsid w:val="00FE5C48"/>
    <w:rsid w:val="00FE6052"/>
    <w:rsid w:val="00FE6656"/>
    <w:rsid w:val="00FF191E"/>
    <w:rsid w:val="00FF1C52"/>
    <w:rsid w:val="00FF33F0"/>
    <w:rsid w:val="00FF54EA"/>
    <w:rsid w:val="02AFC879"/>
    <w:rsid w:val="03AEB1A0"/>
    <w:rsid w:val="0BC379CB"/>
    <w:rsid w:val="132C16FF"/>
    <w:rsid w:val="29897A85"/>
    <w:rsid w:val="38EF6B3C"/>
    <w:rsid w:val="66A09E3A"/>
    <w:rsid w:val="66C6267B"/>
    <w:rsid w:val="6C5AE7FB"/>
    <w:rsid w:val="6ECCA7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91FF7"/>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2"/>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1"/>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2"/>
      </w:numPr>
    </w:pPr>
  </w:style>
  <w:style w:type="numbering" w:styleId="1ai">
    <w:name w:val="Outline List 1"/>
    <w:basedOn w:val="NoList"/>
    <w:uiPriority w:val="97"/>
    <w:semiHidden/>
    <w:rsid w:val="008E65A3"/>
    <w:pPr>
      <w:numPr>
        <w:numId w:val="13"/>
      </w:numPr>
    </w:pPr>
  </w:style>
  <w:style w:type="numbering" w:styleId="ArticleSection">
    <w:name w:val="Outline List 3"/>
    <w:basedOn w:val="NoList"/>
    <w:uiPriority w:val="97"/>
    <w:semiHidden/>
    <w:rsid w:val="008E65A3"/>
    <w:pPr>
      <w:numPr>
        <w:numId w:val="14"/>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3"/>
      </w:numPr>
      <w:contextualSpacing/>
    </w:pPr>
  </w:style>
  <w:style w:type="paragraph" w:styleId="ListBullet3">
    <w:name w:val="List Bullet 3"/>
    <w:basedOn w:val="Normal"/>
    <w:uiPriority w:val="2"/>
    <w:semiHidden/>
    <w:rsid w:val="008E65A3"/>
    <w:pPr>
      <w:numPr>
        <w:numId w:val="4"/>
      </w:numPr>
      <w:contextualSpacing/>
    </w:pPr>
  </w:style>
  <w:style w:type="paragraph" w:styleId="ListBullet4">
    <w:name w:val="List Bullet 4"/>
    <w:basedOn w:val="Normal"/>
    <w:uiPriority w:val="2"/>
    <w:semiHidden/>
    <w:rsid w:val="008E65A3"/>
    <w:pPr>
      <w:numPr>
        <w:numId w:val="5"/>
      </w:numPr>
      <w:contextualSpacing/>
    </w:pPr>
  </w:style>
  <w:style w:type="paragraph" w:styleId="ListBullet5">
    <w:name w:val="List Bullet 5"/>
    <w:basedOn w:val="Normal"/>
    <w:uiPriority w:val="2"/>
    <w:semiHidden/>
    <w:rsid w:val="008E65A3"/>
    <w:pPr>
      <w:numPr>
        <w:numId w:val="6"/>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7"/>
      </w:numPr>
      <w:contextualSpacing/>
    </w:pPr>
  </w:style>
  <w:style w:type="paragraph" w:styleId="ListNumber2">
    <w:name w:val="List Number 2"/>
    <w:basedOn w:val="Normal"/>
    <w:uiPriority w:val="3"/>
    <w:semiHidden/>
    <w:rsid w:val="008E65A3"/>
    <w:pPr>
      <w:numPr>
        <w:numId w:val="8"/>
      </w:numPr>
      <w:contextualSpacing/>
    </w:pPr>
  </w:style>
  <w:style w:type="paragraph" w:styleId="ListNumber3">
    <w:name w:val="List Number 3"/>
    <w:basedOn w:val="Normal"/>
    <w:uiPriority w:val="3"/>
    <w:semiHidden/>
    <w:rsid w:val="008E65A3"/>
    <w:pPr>
      <w:numPr>
        <w:numId w:val="9"/>
      </w:numPr>
      <w:contextualSpacing/>
    </w:pPr>
  </w:style>
  <w:style w:type="paragraph" w:styleId="ListNumber4">
    <w:name w:val="List Number 4"/>
    <w:basedOn w:val="Normal"/>
    <w:uiPriority w:val="3"/>
    <w:semiHidden/>
    <w:rsid w:val="008E65A3"/>
    <w:pPr>
      <w:numPr>
        <w:numId w:val="10"/>
      </w:numPr>
      <w:contextualSpacing/>
    </w:pPr>
  </w:style>
  <w:style w:type="paragraph" w:styleId="ListNumber5">
    <w:name w:val="List Number 5"/>
    <w:basedOn w:val="Normal"/>
    <w:uiPriority w:val="3"/>
    <w:semiHidden/>
    <w:rsid w:val="008E65A3"/>
    <w:pPr>
      <w:numPr>
        <w:numId w:val="11"/>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5"/>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paragraph" w:styleId="Revision">
    <w:name w:val="Revision"/>
    <w:hidden/>
    <w:uiPriority w:val="99"/>
    <w:semiHidden/>
    <w:rsid w:val="00B62300"/>
    <w:pPr>
      <w:spacing w:after="0"/>
    </w:pPr>
    <w:rPr>
      <w:rFonts w:ascii="Arial" w:hAnsi="Arial"/>
      <w:sz w:val="22"/>
    </w:rPr>
  </w:style>
  <w:style w:type="paragraph" w:customStyle="1" w:styleId="paragraph">
    <w:name w:val="paragraph"/>
    <w:basedOn w:val="Normal"/>
    <w:rsid w:val="00276D2E"/>
    <w:pPr>
      <w:spacing w:before="100" w:beforeAutospacing="1" w:after="100" w:afterAutospacing="1"/>
    </w:pPr>
    <w:rPr>
      <w:rFonts w:ascii="Times New Roman" w:eastAsia="Times New Roman" w:hAnsi="Times New Roman"/>
      <w:sz w:val="24"/>
      <w:szCs w:val="24"/>
      <w:lang w:eastAsia="en-AU"/>
    </w:rPr>
  </w:style>
  <w:style w:type="character" w:customStyle="1" w:styleId="eop">
    <w:name w:val="eop"/>
    <w:basedOn w:val="DefaultParagraphFont"/>
    <w:rsid w:val="00276D2E"/>
  </w:style>
  <w:style w:type="character" w:customStyle="1" w:styleId="normaltextrun">
    <w:name w:val="normaltextrun"/>
    <w:basedOn w:val="DefaultParagraphFont"/>
    <w:rsid w:val="00276D2E"/>
  </w:style>
  <w:style w:type="character" w:styleId="UnresolvedMention">
    <w:name w:val="Unresolved Mention"/>
    <w:basedOn w:val="DefaultParagraphFont"/>
    <w:uiPriority w:val="99"/>
    <w:semiHidden/>
    <w:unhideWhenUsed/>
    <w:rsid w:val="00F22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477306982">
      <w:bodyDiv w:val="1"/>
      <w:marLeft w:val="0"/>
      <w:marRight w:val="0"/>
      <w:marTop w:val="0"/>
      <w:marBottom w:val="0"/>
      <w:divBdr>
        <w:top w:val="none" w:sz="0" w:space="0" w:color="auto"/>
        <w:left w:val="none" w:sz="0" w:space="0" w:color="auto"/>
        <w:bottom w:val="none" w:sz="0" w:space="0" w:color="auto"/>
        <w:right w:val="none" w:sz="0" w:space="0" w:color="auto"/>
      </w:divBdr>
    </w:div>
    <w:div w:id="582296316">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55269978">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18230024">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sw.gov.au/departments-and-agencies/department-of-planning-housing-and-infrastructure"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lcf76f155ced4ddcb4097134ff3c332f xmlns="2cb9c8c1-a3f8-48df-abd6-a25523cdf4f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2" ma:contentTypeDescription="Create a new document." ma:contentTypeScope="" ma:versionID="45a2e7afc11eed9d52c504765849049b">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93de2971d60a830cf410359698403254"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E315F-A382-4784-AF2F-2AD248523628}">
  <ds:schemaRefs>
    <ds:schemaRef ds:uri="http://schemas.microsoft.com/sharepoint/v3/contenttype/forms"/>
  </ds:schemaRefs>
</ds:datastoreItem>
</file>

<file path=customXml/itemProps2.xml><?xml version="1.0" encoding="utf-8"?>
<ds:datastoreItem xmlns:ds="http://schemas.openxmlformats.org/officeDocument/2006/customXml" ds:itemID="{5EB51555-25F9-45AE-BA65-92EDF3265076}">
  <ds:schemaRefs>
    <ds:schemaRef ds:uri="http://schemas.microsoft.com/office/2006/metadata/properties"/>
    <ds:schemaRef ds:uri="http://schemas.microsoft.com/office/infopath/2007/PartnerControls"/>
    <ds:schemaRef ds:uri="http://schemas.microsoft.com/sharepoint/v3"/>
    <ds:schemaRef ds:uri="2cb9c8c1-a3f8-48df-abd6-a25523cdf4f2"/>
    <ds:schemaRef ds:uri="558aa24c-d1f1-4f00-9011-17f3627ae038"/>
  </ds:schemaRefs>
</ds:datastoreItem>
</file>

<file path=customXml/itemProps3.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4.xml><?xml version="1.0" encoding="utf-8"?>
<ds:datastoreItem xmlns:ds="http://schemas.openxmlformats.org/officeDocument/2006/customXml" ds:itemID="{C4CF38DA-FC70-4C5D-87C4-AAC967EB5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b9c8c1-a3f8-48df-abd6-a25523cdf4f2"/>
    <ds:schemaRef ds:uri="558aa24c-d1f1-4f00-9011-17f3627ae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2254</Words>
  <Characters>15156</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Team Lead Information Services</vt:lpstr>
    </vt:vector>
  </TitlesOfParts>
  <Company>Public Sector Commission</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Lead Information Services</dc:title>
  <dc:creator>Jennifer Christensen</dc:creator>
  <cp:lastModifiedBy>Deanna Saffioti</cp:lastModifiedBy>
  <cp:revision>4</cp:revision>
  <cp:lastPrinted>2021-06-07T04:46:00Z</cp:lastPrinted>
  <dcterms:created xsi:type="dcterms:W3CDTF">2025-05-19T02:58:00Z</dcterms:created>
  <dcterms:modified xsi:type="dcterms:W3CDTF">2025-05-22T03:33:00Z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0x010100C5B762905649934387B61C574319875B</vt:lpwstr>
  </property>
  <property fmtid="{D5CDD505-2E9C-101B-9397-08002B2CF9AE}" pid="4" name="MediaServiceImageTags">
    <vt:lpwstr/>
  </property>
  <property fmtid="{D5CDD505-2E9C-101B-9397-08002B2CF9AE}" pid="5" name="rdHierarchyBusinessEnablers">
    <vt:lpwstr>112;#Finance: Complementary - Intermediate|4e8290b5-6d26-4576-923a-d3f45bb854da;#164;#Technology: Focus - Adept|0c3e111c-f185-4716-9d8b-51035a1c20b6;#114;#Procurement and Contract Management: Complementary - Intermediate|510733f5-86d4-4359-996b-8e2ecbdcb63e;#115;#Project Management: Complementary - Intermediate|cbf6e839-a1c4-4214-b40d-39603bcf3d2e</vt:lpwstr>
  </property>
  <property fmtid="{D5CDD505-2E9C-101B-9397-08002B2CF9AE}" pid="6" name="rdHierarchyResults">
    <vt:lpwstr>208;#Deliver Results: Complementary - Intermediate|61200e3d-a294-4279-bdd6-342580fd57ad;#169;#Think and Solve Problems: Focus - Adept|b199a32f-8896-4d5a-b9db-75257bd2abd8;#232;#Plan and Prioritise: Complementary - Adept|a4b9de75-69ae-48b7-9adc-9f9afbbd476f;#69;#Demonstrate Accountability: Complementary - Intermediate|79e50afa-8225-468e-9025-83de4c4e10b0</vt:lpwstr>
  </property>
  <property fmtid="{D5CDD505-2E9C-101B-9397-08002B2CF9AE}" pid="7" name="_ExtendedDescription">
    <vt:lpwstr/>
  </property>
  <property fmtid="{D5CDD505-2E9C-101B-9397-08002B2CF9AE}" pid="8" name="rdHierarchyRelationships">
    <vt:lpwstr>211;#Commit to Customer Service: Complementary - Intermediate|9f8da780-7b2d-4851-a0a7-4f5feecbd5a1;#121;#Communicate Effectively: Focus - Advanced|7b530ff7-0d46-4884-b04b-69f6a2b0a6c9;#243;#Influence and Negotiate: Complementary - Adept|6d77121a-25ce-4110-bf82-165393600883;#136;#Work Collaboratively: Complementary - Intermediate|607b2e70-15f8-46c8-a939-444b8f87195e</vt:lpwstr>
  </property>
  <property fmtid="{D5CDD505-2E9C-101B-9397-08002B2CF9AE}" pid="9" name="rdHierarchyOccupationSpecific">
    <vt:lpwstr>189;#ICT (SFIA)|f8cf43f9-9b47-4e0c-98c5-caa063c3d4f9</vt:lpwstr>
  </property>
  <property fmtid="{D5CDD505-2E9C-101B-9397-08002B2CF9AE}" pid="10" name="rdHierarchyPersonalAttributes">
    <vt:lpwstr>139;#Act with Integrity: Focus - Adept|abdeb392-17f3-489f-945a-0be743aa5bc4;#223;#Manage Self: Complementary - Adept|8493d2a4-0d41-4ea2-9f69-23a4964526d5;#234;#Value Diversity and Inclusion: Complementary - Adept|828600c8-ec96-4ca7-a9ae-09ae975800f3;#224;#Display Resilience and Courage: Complementary - Adept|9d528cdc-2887-494e-8a26-3de24a5983ca</vt:lpwstr>
  </property>
  <property fmtid="{D5CDD505-2E9C-101B-9397-08002B2CF9AE}" pid="11" name="rdHierarchyPeopleManagement">
    <vt:lpwstr>160;#Manage and Develop People: Focus - Adept|97b5555d-f9ff-48f3-b68b-85c10f8350f9;#229;#Inspire Direction and Purpose: Complementary - Adept|7f1bcc24-3447-4262-bf4b-c58b89e6949a;#219;#Manage Reform and Change: Complementary - Intermediate|523a98f8-a01c-47c0-b7b8-c7f756def3d3;#221;#Optimise Business Outcomes: Complementary - Intermediate|0fb8e570-b898-4f3d-bd21-60941b1f5cb7</vt:lpwstr>
  </property>
</Properties>
</file>