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96826F6" w14:textId="7B12C1E2" w:rsidR="00D64474" w:rsidRPr="000C453F" w:rsidRDefault="0027338E" w:rsidP="00D64474">
      <w:pPr>
        <w:pStyle w:val="Heading1"/>
        <w:tabs>
          <w:tab w:val="left" w:pos="720"/>
          <w:tab w:val="left" w:pos="1440"/>
          <w:tab w:val="left" w:pos="2160"/>
          <w:tab w:val="left" w:pos="2880"/>
          <w:tab w:val="left" w:pos="3600"/>
          <w:tab w:val="right" w:pos="10348"/>
        </w:tabs>
      </w:pPr>
      <w:r>
        <w:rPr>
          <w:noProof/>
        </w:rPr>
        <w:drawing>
          <wp:anchor distT="0" distB="0" distL="114300" distR="114300" simplePos="0" relativeHeight="251658240" behindDoc="0" locked="0" layoutInCell="1" allowOverlap="1" wp14:anchorId="19A50379" wp14:editId="77FB4B3B">
            <wp:simplePos x="0" y="0"/>
            <wp:positionH relativeFrom="column">
              <wp:posOffset>5765328</wp:posOffset>
            </wp:positionH>
            <wp:positionV relativeFrom="paragraph">
              <wp:posOffset>568</wp:posOffset>
            </wp:positionV>
            <wp:extent cx="847458" cy="900000"/>
            <wp:effectExtent l="0" t="0" r="0" b="0"/>
            <wp:wrapThrough wrapText="bothSides">
              <wp:wrapPolygon edited="0">
                <wp:start x="0" y="0"/>
                <wp:lineTo x="0" y="21036"/>
                <wp:lineTo x="20888" y="21036"/>
                <wp:lineTo x="2088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7458" cy="900000"/>
                    </a:xfrm>
                    <a:prstGeom prst="rect">
                      <a:avLst/>
                    </a:prstGeom>
                  </pic:spPr>
                </pic:pic>
              </a:graphicData>
            </a:graphic>
          </wp:anchor>
        </w:drawing>
      </w:r>
      <w:r w:rsidR="00D64474" w:rsidRPr="000C453F">
        <w:t>Role Description</w:t>
      </w:r>
    </w:p>
    <w:p w14:paraId="6BAB85BA" w14:textId="57F43F93" w:rsidR="00D64474" w:rsidRDefault="008B61FB" w:rsidP="00076EAB">
      <w:pPr>
        <w:pStyle w:val="Heading1"/>
        <w:tabs>
          <w:tab w:val="right" w:pos="10206"/>
        </w:tabs>
        <w:spacing w:after="120"/>
      </w:pPr>
      <w:r>
        <w:t xml:space="preserve">Principal </w:t>
      </w:r>
      <w:r w:rsidR="00E46D5E">
        <w:t>Salesforce</w:t>
      </w:r>
      <w:r>
        <w:t xml:space="preserve"> Architect</w:t>
      </w:r>
    </w:p>
    <w:p w14:paraId="2E363306" w14:textId="77777777" w:rsidR="00076EAB" w:rsidRPr="00076EAB" w:rsidRDefault="00076EAB" w:rsidP="00076EAB"/>
    <w:tbl>
      <w:tblPr>
        <w:tblStyle w:val="PSCGreen"/>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SC_Role_InformationTable"/>
        <w:tblDescription w:val="PSC_Role_InformationTable"/>
      </w:tblPr>
      <w:tblGrid>
        <w:gridCol w:w="4026"/>
        <w:gridCol w:w="6530"/>
      </w:tblGrid>
      <w:tr w:rsidR="00E46D5E" w:rsidRPr="00C978B9" w14:paraId="5FC0AF70" w14:textId="77777777" w:rsidTr="00E46D5E">
        <w:trPr>
          <w:cnfStyle w:val="100000000000" w:firstRow="1" w:lastRow="0" w:firstColumn="0" w:lastColumn="0" w:oddVBand="0" w:evenVBand="0" w:oddHBand="0" w:evenHBand="0" w:firstRowFirstColumn="0" w:firstRowLastColumn="0" w:lastRowFirstColumn="0" w:lastRowLastColumn="0"/>
          <w:cantSplit/>
        </w:trPr>
        <w:tc>
          <w:tcPr>
            <w:tcW w:w="402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0000" w:themeFill="text1"/>
            <w:vAlign w:val="center"/>
          </w:tcPr>
          <w:p w14:paraId="705029CB" w14:textId="23A91DA2" w:rsidR="00E46D5E" w:rsidRPr="00C90657" w:rsidRDefault="00E46D5E" w:rsidP="00E46D5E">
            <w:pPr>
              <w:pStyle w:val="TableTextWhite"/>
              <w:rPr>
                <w:b/>
              </w:rPr>
            </w:pPr>
            <w:r>
              <w:rPr>
                <w:b/>
              </w:rPr>
              <w:t>Role Description Fields</w:t>
            </w:r>
          </w:p>
        </w:tc>
        <w:tc>
          <w:tcPr>
            <w:tcW w:w="6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0000" w:themeFill="text1"/>
          </w:tcPr>
          <w:p w14:paraId="4E604EED" w14:textId="752D98A5" w:rsidR="00E46D5E" w:rsidRPr="00C90657" w:rsidRDefault="00E46D5E" w:rsidP="00E46D5E">
            <w:pPr>
              <w:pStyle w:val="TableTextWhite"/>
              <w:rPr>
                <w:b/>
              </w:rPr>
            </w:pPr>
            <w:r>
              <w:rPr>
                <w:b/>
              </w:rPr>
              <w:t>Details</w:t>
            </w:r>
          </w:p>
        </w:tc>
      </w:tr>
      <w:tr w:rsidR="00E46D5E" w:rsidRPr="00C978B9" w14:paraId="0A717333" w14:textId="77777777" w:rsidTr="00E46D5E">
        <w:trPr>
          <w:cantSplit/>
        </w:trPr>
        <w:tc>
          <w:tcPr>
            <w:tcW w:w="4026" w:type="dxa"/>
            <w:vAlign w:val="center"/>
          </w:tcPr>
          <w:p w14:paraId="7E17579E" w14:textId="2344C8BE" w:rsidR="00E46D5E" w:rsidRPr="00853F21" w:rsidRDefault="00E46D5E" w:rsidP="00E46D5E">
            <w:pPr>
              <w:pStyle w:val="TableTextWhite"/>
              <w:rPr>
                <w:b/>
              </w:rPr>
            </w:pPr>
            <w:r w:rsidRPr="00853F21">
              <w:rPr>
                <w:b/>
              </w:rPr>
              <w:t>Cluster</w:t>
            </w:r>
          </w:p>
        </w:tc>
        <w:tc>
          <w:tcPr>
            <w:tcW w:w="6530" w:type="dxa"/>
          </w:tcPr>
          <w:p w14:paraId="608932DF" w14:textId="48EC65A7" w:rsidR="00E46D5E" w:rsidRPr="00853F21" w:rsidRDefault="00E46D5E" w:rsidP="00E46D5E">
            <w:pPr>
              <w:pStyle w:val="TableTextWhite"/>
              <w:rPr>
                <w:b/>
              </w:rPr>
            </w:pPr>
            <w:r>
              <w:rPr>
                <w:b/>
              </w:rPr>
              <w:t>Planning Housing and Infrastructure</w:t>
            </w:r>
          </w:p>
        </w:tc>
      </w:tr>
      <w:tr w:rsidR="00E46D5E" w:rsidRPr="00C978B9" w14:paraId="7DF6E19D" w14:textId="77777777" w:rsidTr="00E46D5E">
        <w:trPr>
          <w:cantSplit/>
        </w:trPr>
        <w:tc>
          <w:tcPr>
            <w:tcW w:w="4026" w:type="dxa"/>
            <w:vAlign w:val="center"/>
          </w:tcPr>
          <w:p w14:paraId="3D5D2B5E" w14:textId="383851F4" w:rsidR="00E46D5E" w:rsidRPr="00853F21" w:rsidRDefault="00E46D5E" w:rsidP="00E46D5E">
            <w:pPr>
              <w:pStyle w:val="TableTextWhite"/>
              <w:rPr>
                <w:b/>
              </w:rPr>
            </w:pPr>
            <w:bookmarkStart w:id="0" w:name="DeptAgency"/>
            <w:bookmarkEnd w:id="0"/>
            <w:r w:rsidRPr="00853F21">
              <w:rPr>
                <w:b/>
              </w:rPr>
              <w:t>Department/Agency</w:t>
            </w:r>
          </w:p>
        </w:tc>
        <w:tc>
          <w:tcPr>
            <w:tcW w:w="6530" w:type="dxa"/>
          </w:tcPr>
          <w:p w14:paraId="3A5585B2" w14:textId="78A55D6C" w:rsidR="00E46D5E" w:rsidRPr="00853F21" w:rsidRDefault="00E46D5E" w:rsidP="00E46D5E">
            <w:pPr>
              <w:pStyle w:val="TableTextWhite"/>
              <w:rPr>
                <w:b/>
              </w:rPr>
            </w:pPr>
            <w:r>
              <w:rPr>
                <w:b/>
              </w:rPr>
              <w:t>Department of Planning Housing and Infrastructure</w:t>
            </w:r>
          </w:p>
        </w:tc>
      </w:tr>
      <w:tr w:rsidR="00E46D5E" w:rsidRPr="00C978B9" w14:paraId="0CF0645F" w14:textId="77777777" w:rsidTr="00E46D5E">
        <w:trPr>
          <w:cantSplit/>
        </w:trPr>
        <w:tc>
          <w:tcPr>
            <w:tcW w:w="4026" w:type="dxa"/>
            <w:vAlign w:val="center"/>
          </w:tcPr>
          <w:p w14:paraId="033A5015" w14:textId="7A8185D4" w:rsidR="00E46D5E" w:rsidRPr="00853F21" w:rsidRDefault="00E46D5E" w:rsidP="00E46D5E">
            <w:pPr>
              <w:pStyle w:val="TableTextWhite"/>
              <w:rPr>
                <w:b/>
              </w:rPr>
            </w:pPr>
            <w:r w:rsidRPr="00853F21">
              <w:rPr>
                <w:b/>
              </w:rPr>
              <w:t>Division/Branch/Unit</w:t>
            </w:r>
          </w:p>
        </w:tc>
        <w:tc>
          <w:tcPr>
            <w:tcW w:w="6530" w:type="dxa"/>
          </w:tcPr>
          <w:p w14:paraId="6F1ED579" w14:textId="2B1CE136" w:rsidR="00E46D5E" w:rsidRPr="00853F21" w:rsidRDefault="00E46D5E" w:rsidP="00E46D5E">
            <w:pPr>
              <w:pStyle w:val="TableTextWhite"/>
              <w:rPr>
                <w:b/>
              </w:rPr>
            </w:pPr>
            <w:r>
              <w:rPr>
                <w:b/>
              </w:rPr>
              <w:t>Corporate Services / Digital Information Office / Business Application Management Services</w:t>
            </w:r>
          </w:p>
        </w:tc>
      </w:tr>
      <w:tr w:rsidR="00E46D5E" w:rsidRPr="00C978B9" w14:paraId="65557689" w14:textId="77777777" w:rsidTr="00E46D5E">
        <w:trPr>
          <w:cantSplit/>
        </w:trPr>
        <w:tc>
          <w:tcPr>
            <w:tcW w:w="4026" w:type="dxa"/>
            <w:vAlign w:val="center"/>
          </w:tcPr>
          <w:p w14:paraId="7D4739CB" w14:textId="15559231" w:rsidR="00E46D5E" w:rsidRPr="00853F21" w:rsidRDefault="00E46D5E" w:rsidP="00E46D5E">
            <w:pPr>
              <w:pStyle w:val="TableTextWhite"/>
              <w:rPr>
                <w:b/>
              </w:rPr>
            </w:pPr>
            <w:r w:rsidRPr="004A3696">
              <w:rPr>
                <w:b/>
              </w:rPr>
              <w:t>Role number</w:t>
            </w:r>
          </w:p>
        </w:tc>
        <w:tc>
          <w:tcPr>
            <w:tcW w:w="6530" w:type="dxa"/>
          </w:tcPr>
          <w:p w14:paraId="3081242C" w14:textId="475CA68F" w:rsidR="00E46D5E" w:rsidRPr="004A3696" w:rsidRDefault="00E46D5E" w:rsidP="00E46D5E">
            <w:pPr>
              <w:pStyle w:val="TableTextWhite"/>
              <w:rPr>
                <w:b/>
              </w:rPr>
            </w:pPr>
            <w:r>
              <w:rPr>
                <w:b/>
              </w:rPr>
              <w:t>TBC</w:t>
            </w:r>
          </w:p>
        </w:tc>
      </w:tr>
      <w:tr w:rsidR="00E46D5E" w:rsidRPr="00C978B9" w14:paraId="317EC75C" w14:textId="77777777" w:rsidTr="00E46D5E">
        <w:trPr>
          <w:cantSplit/>
        </w:trPr>
        <w:tc>
          <w:tcPr>
            <w:tcW w:w="4026" w:type="dxa"/>
            <w:vAlign w:val="center"/>
          </w:tcPr>
          <w:p w14:paraId="1AB15BB6" w14:textId="542AA6ED" w:rsidR="00E46D5E" w:rsidRPr="00853F21" w:rsidRDefault="00E46D5E" w:rsidP="00E46D5E">
            <w:pPr>
              <w:pStyle w:val="TableTextWhite"/>
              <w:rPr>
                <w:b/>
                <w:color w:val="000000"/>
              </w:rPr>
            </w:pPr>
            <w:r w:rsidRPr="00853F21">
              <w:rPr>
                <w:b/>
              </w:rPr>
              <w:t>Classification/Grade/Band</w:t>
            </w:r>
          </w:p>
        </w:tc>
        <w:tc>
          <w:tcPr>
            <w:tcW w:w="6530" w:type="dxa"/>
          </w:tcPr>
          <w:p w14:paraId="211804D9" w14:textId="1791F13B" w:rsidR="00E46D5E" w:rsidRPr="00853F21" w:rsidRDefault="00E46D5E" w:rsidP="00E46D5E">
            <w:pPr>
              <w:pStyle w:val="TableTextWhite"/>
              <w:rPr>
                <w:b/>
              </w:rPr>
            </w:pPr>
            <w:r>
              <w:rPr>
                <w:b/>
              </w:rPr>
              <w:t>Clerk Grade 11/12</w:t>
            </w:r>
          </w:p>
        </w:tc>
      </w:tr>
      <w:tr w:rsidR="00E46D5E" w:rsidRPr="00C978B9" w14:paraId="23FE6A58" w14:textId="77777777" w:rsidTr="00E46D5E">
        <w:trPr>
          <w:cantSplit/>
        </w:trPr>
        <w:tc>
          <w:tcPr>
            <w:tcW w:w="4026" w:type="dxa"/>
            <w:vAlign w:val="center"/>
          </w:tcPr>
          <w:p w14:paraId="67B2D5AF" w14:textId="351901C7" w:rsidR="00E46D5E" w:rsidRPr="00853F21" w:rsidRDefault="00E46D5E" w:rsidP="00E46D5E">
            <w:pPr>
              <w:pStyle w:val="TableTextWhite"/>
              <w:rPr>
                <w:b/>
              </w:rPr>
            </w:pPr>
            <w:r w:rsidRPr="00853F21">
              <w:rPr>
                <w:b/>
              </w:rPr>
              <w:t>ANZSCO Code</w:t>
            </w:r>
          </w:p>
        </w:tc>
        <w:tc>
          <w:tcPr>
            <w:tcW w:w="6530" w:type="dxa"/>
          </w:tcPr>
          <w:p w14:paraId="52BC7C6E" w14:textId="30A21B41" w:rsidR="00E46D5E" w:rsidRPr="004A3696" w:rsidRDefault="00E46D5E" w:rsidP="00E46D5E">
            <w:pPr>
              <w:pStyle w:val="TableTextWhite"/>
              <w:rPr>
                <w:b/>
              </w:rPr>
            </w:pPr>
            <w:r w:rsidRPr="006D0029">
              <w:rPr>
                <w:b/>
                <w:bCs/>
              </w:rPr>
              <w:t>261</w:t>
            </w:r>
            <w:r>
              <w:rPr>
                <w:b/>
                <w:bCs/>
              </w:rPr>
              <w:t>312</w:t>
            </w:r>
          </w:p>
        </w:tc>
      </w:tr>
      <w:tr w:rsidR="00E46D5E" w:rsidRPr="00C978B9" w14:paraId="768003CB" w14:textId="77777777" w:rsidTr="00E46D5E">
        <w:trPr>
          <w:cantSplit/>
        </w:trPr>
        <w:tc>
          <w:tcPr>
            <w:tcW w:w="4026" w:type="dxa"/>
            <w:vAlign w:val="center"/>
          </w:tcPr>
          <w:p w14:paraId="72427866" w14:textId="4D60D3EB" w:rsidR="00E46D5E" w:rsidRPr="00853F21" w:rsidRDefault="00E46D5E" w:rsidP="00E46D5E">
            <w:pPr>
              <w:pStyle w:val="TableTextWhite"/>
              <w:rPr>
                <w:b/>
                <w:color w:val="000000"/>
              </w:rPr>
            </w:pPr>
            <w:r w:rsidRPr="00853F21">
              <w:rPr>
                <w:b/>
              </w:rPr>
              <w:t>PCAT Code</w:t>
            </w:r>
          </w:p>
        </w:tc>
        <w:tc>
          <w:tcPr>
            <w:tcW w:w="6530" w:type="dxa"/>
          </w:tcPr>
          <w:p w14:paraId="7B11D75D" w14:textId="4805FF7A" w:rsidR="00E46D5E" w:rsidRPr="00853F21" w:rsidRDefault="00E46D5E" w:rsidP="00E46D5E">
            <w:pPr>
              <w:pStyle w:val="TableTextWhite"/>
              <w:rPr>
                <w:b/>
              </w:rPr>
            </w:pPr>
            <w:r w:rsidRPr="006D0029">
              <w:rPr>
                <w:b/>
                <w:bCs/>
              </w:rPr>
              <w:t>1</w:t>
            </w:r>
            <w:r>
              <w:rPr>
                <w:b/>
                <w:bCs/>
              </w:rPr>
              <w:t>2</w:t>
            </w:r>
            <w:r w:rsidRPr="006D0029">
              <w:rPr>
                <w:b/>
                <w:bCs/>
              </w:rPr>
              <w:t>2</w:t>
            </w:r>
            <w:r>
              <w:rPr>
                <w:b/>
                <w:bCs/>
              </w:rPr>
              <w:t>64</w:t>
            </w:r>
            <w:r w:rsidRPr="006D0029">
              <w:rPr>
                <w:b/>
                <w:bCs/>
              </w:rPr>
              <w:t>92</w:t>
            </w:r>
          </w:p>
        </w:tc>
      </w:tr>
      <w:tr w:rsidR="00E46D5E" w:rsidRPr="00C978B9" w14:paraId="4B7550D6" w14:textId="77777777" w:rsidTr="00E46D5E">
        <w:trPr>
          <w:cantSplit/>
        </w:trPr>
        <w:tc>
          <w:tcPr>
            <w:tcW w:w="4026" w:type="dxa"/>
            <w:vAlign w:val="center"/>
          </w:tcPr>
          <w:p w14:paraId="281E6A13" w14:textId="522F677E" w:rsidR="00E46D5E" w:rsidRPr="00853F21" w:rsidRDefault="00E46D5E" w:rsidP="00E46D5E">
            <w:pPr>
              <w:pStyle w:val="TableTextWhite"/>
              <w:rPr>
                <w:b/>
                <w:color w:val="000000"/>
              </w:rPr>
            </w:pPr>
            <w:r w:rsidRPr="00853F21">
              <w:rPr>
                <w:b/>
              </w:rPr>
              <w:t>Date of Approval</w:t>
            </w:r>
          </w:p>
        </w:tc>
        <w:tc>
          <w:tcPr>
            <w:tcW w:w="6530" w:type="dxa"/>
          </w:tcPr>
          <w:p w14:paraId="31D820F6" w14:textId="0CAFCFB1" w:rsidR="00E46D5E" w:rsidRPr="00853F21" w:rsidRDefault="00E46D5E" w:rsidP="00E46D5E">
            <w:pPr>
              <w:pStyle w:val="TableTextWhite"/>
              <w:rPr>
                <w:b/>
              </w:rPr>
            </w:pPr>
            <w:r>
              <w:rPr>
                <w:b/>
              </w:rPr>
              <w:t>March 2025</w:t>
            </w:r>
          </w:p>
        </w:tc>
      </w:tr>
      <w:tr w:rsidR="00E46D5E" w:rsidRPr="00C978B9" w14:paraId="3FF1B667" w14:textId="77777777" w:rsidTr="00E46D5E">
        <w:trPr>
          <w:cantSplit/>
        </w:trPr>
        <w:tc>
          <w:tcPr>
            <w:tcW w:w="4026" w:type="dxa"/>
            <w:vAlign w:val="center"/>
          </w:tcPr>
          <w:p w14:paraId="6EAB08EA" w14:textId="7CF968C1" w:rsidR="00E46D5E" w:rsidRPr="00853F21" w:rsidRDefault="00E46D5E" w:rsidP="00E46D5E">
            <w:pPr>
              <w:pStyle w:val="TableTextWhite"/>
              <w:rPr>
                <w:b/>
                <w:color w:val="000000"/>
              </w:rPr>
            </w:pPr>
            <w:r w:rsidRPr="004A3696">
              <w:rPr>
                <w:b/>
              </w:rPr>
              <w:t>Agency Website</w:t>
            </w:r>
          </w:p>
        </w:tc>
        <w:tc>
          <w:tcPr>
            <w:tcW w:w="6530" w:type="dxa"/>
          </w:tcPr>
          <w:p w14:paraId="3281FDC8" w14:textId="0DA585C7" w:rsidR="00E46D5E" w:rsidRPr="00853F21" w:rsidRDefault="00E46D5E" w:rsidP="00E46D5E">
            <w:pPr>
              <w:pStyle w:val="TableTextWhite"/>
              <w:rPr>
                <w:b/>
              </w:rPr>
            </w:pPr>
            <w:r w:rsidRPr="00987BE4">
              <w:rPr>
                <w:b/>
              </w:rPr>
              <w:t>https://www.nsw.gov.au/departments-and-agencies/department-of-planning-housing-and-infrastructure</w:t>
            </w:r>
          </w:p>
        </w:tc>
      </w:tr>
    </w:tbl>
    <w:p w14:paraId="6BC5454A" w14:textId="77777777" w:rsidR="00057CB3" w:rsidRPr="00C978B9" w:rsidRDefault="004A3696" w:rsidP="00FB27B0">
      <w:pPr>
        <w:pStyle w:val="Heading2"/>
      </w:pPr>
      <w:r w:rsidRPr="004A3696">
        <w:t>Agency overview</w:t>
      </w:r>
    </w:p>
    <w:p w14:paraId="0A0007F2" w14:textId="0EBE1211" w:rsidR="00246BFC" w:rsidRDefault="0027338E" w:rsidP="0027338E">
      <w:bookmarkStart w:id="1" w:name="_Hlk30003721"/>
      <w:r>
        <w:t>The Department of Planning, Housing and Infrastructure (DPHI) improves the liveability and prosperity of NSW.  To achieve this, we:</w:t>
      </w:r>
    </w:p>
    <w:p w14:paraId="2CC7C801" w14:textId="77777777" w:rsidR="0027338E" w:rsidRDefault="0027338E" w:rsidP="0027338E"/>
    <w:p w14:paraId="42DC5E5E" w14:textId="46099AC5" w:rsidR="0027338E" w:rsidRDefault="0027338E" w:rsidP="0027338E">
      <w:pPr>
        <w:pStyle w:val="ListBullet"/>
        <w:rPr>
          <w:lang w:eastAsia="en-AU"/>
        </w:rPr>
      </w:pPr>
      <w:r>
        <w:rPr>
          <w:lang w:eastAsia="en-AU"/>
        </w:rPr>
        <w:t xml:space="preserve">create vibrant, productive spaces and </w:t>
      </w:r>
      <w:proofErr w:type="gramStart"/>
      <w:r>
        <w:rPr>
          <w:lang w:eastAsia="en-AU"/>
        </w:rPr>
        <w:t>precincts;</w:t>
      </w:r>
      <w:proofErr w:type="gramEnd"/>
    </w:p>
    <w:p w14:paraId="798363FC" w14:textId="49D7D490" w:rsidR="0027338E" w:rsidRDefault="0027338E" w:rsidP="0027338E">
      <w:pPr>
        <w:pStyle w:val="ListBullet"/>
        <w:rPr>
          <w:lang w:eastAsia="en-AU"/>
        </w:rPr>
      </w:pPr>
      <w:r>
        <w:rPr>
          <w:lang w:eastAsia="en-AU"/>
        </w:rPr>
        <w:t>manage lands, assets and property effectively; and</w:t>
      </w:r>
    </w:p>
    <w:p w14:paraId="780284A8" w14:textId="32102391" w:rsidR="0027338E" w:rsidRDefault="0027338E" w:rsidP="0027338E">
      <w:pPr>
        <w:pStyle w:val="ListBullet"/>
        <w:rPr>
          <w:lang w:eastAsia="en-AU"/>
        </w:rPr>
      </w:pPr>
      <w:r>
        <w:rPr>
          <w:lang w:eastAsia="en-AU"/>
        </w:rPr>
        <w:t>deliver affordable and diverse housing.</w:t>
      </w:r>
    </w:p>
    <w:p w14:paraId="3B1E1267" w14:textId="77777777" w:rsidR="0027338E" w:rsidRDefault="0027338E" w:rsidP="0027338E">
      <w:pPr>
        <w:rPr>
          <w:lang w:eastAsia="en-AU"/>
        </w:rPr>
      </w:pPr>
    </w:p>
    <w:p w14:paraId="1EED2535" w14:textId="0750A030" w:rsidR="0027338E" w:rsidRDefault="0027338E" w:rsidP="0027338E">
      <w:pPr>
        <w:rPr>
          <w:lang w:eastAsia="en-AU"/>
        </w:rPr>
      </w:pPr>
      <w:r>
        <w:rPr>
          <w:lang w:eastAsia="en-AU"/>
        </w:rPr>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p>
    <w:p w14:paraId="6EEBAA35" w14:textId="77777777" w:rsidR="009C41E5" w:rsidRPr="0092418B" w:rsidRDefault="009C41E5" w:rsidP="002A6430">
      <w:pPr>
        <w:pStyle w:val="Heading2"/>
        <w:ind w:left="360" w:hanging="360"/>
        <w:rPr>
          <w:rFonts w:cs="Times New Roman"/>
          <w:iCs w:val="0"/>
          <w:sz w:val="24"/>
          <w:szCs w:val="22"/>
        </w:rPr>
      </w:pPr>
      <w:r w:rsidRPr="0092418B">
        <w:rPr>
          <w:rFonts w:cs="Times New Roman"/>
          <w:iCs w:val="0"/>
          <w:sz w:val="24"/>
          <w:szCs w:val="22"/>
        </w:rPr>
        <w:t>Primary purpose of the role</w:t>
      </w:r>
    </w:p>
    <w:p w14:paraId="61EDB6C0" w14:textId="20929DD4" w:rsidR="009C41E5" w:rsidRDefault="00B56653" w:rsidP="002A6430">
      <w:pPr>
        <w:pStyle w:val="Heading2"/>
        <w:rPr>
          <w:rFonts w:cs="Times New Roman"/>
          <w:b w:val="0"/>
          <w:bCs w:val="0"/>
          <w:iCs w:val="0"/>
          <w:sz w:val="22"/>
          <w:szCs w:val="20"/>
        </w:rPr>
      </w:pPr>
      <w:r>
        <w:rPr>
          <w:rFonts w:cs="Times New Roman"/>
          <w:b w:val="0"/>
          <w:bCs w:val="0"/>
          <w:iCs w:val="0"/>
          <w:sz w:val="22"/>
          <w:szCs w:val="20"/>
        </w:rPr>
        <w:t xml:space="preserve">This role </w:t>
      </w:r>
      <w:r w:rsidR="00240719">
        <w:rPr>
          <w:rFonts w:cs="Times New Roman"/>
          <w:b w:val="0"/>
          <w:bCs w:val="0"/>
          <w:iCs w:val="0"/>
          <w:sz w:val="22"/>
          <w:szCs w:val="20"/>
        </w:rPr>
        <w:t xml:space="preserve">provides expert advice and leadership throughout all project phases to deliver and develop </w:t>
      </w:r>
      <w:r w:rsidR="009C41E5" w:rsidRPr="0092418B">
        <w:rPr>
          <w:rFonts w:cs="Times New Roman"/>
          <w:b w:val="0"/>
          <w:bCs w:val="0"/>
          <w:iCs w:val="0"/>
          <w:sz w:val="22"/>
          <w:szCs w:val="20"/>
        </w:rPr>
        <w:t>Salesforce technical</w:t>
      </w:r>
      <w:r w:rsidR="002A6430">
        <w:rPr>
          <w:rFonts w:cs="Times New Roman"/>
          <w:b w:val="0"/>
          <w:bCs w:val="0"/>
          <w:iCs w:val="0"/>
          <w:sz w:val="22"/>
          <w:szCs w:val="20"/>
        </w:rPr>
        <w:t xml:space="preserve"> </w:t>
      </w:r>
      <w:r w:rsidR="009C41E5" w:rsidRPr="0092418B">
        <w:rPr>
          <w:rFonts w:cs="Times New Roman"/>
          <w:b w:val="0"/>
          <w:bCs w:val="0"/>
          <w:iCs w:val="0"/>
          <w:sz w:val="22"/>
          <w:szCs w:val="20"/>
        </w:rPr>
        <w:t>solutions to support project objectives.</w:t>
      </w:r>
    </w:p>
    <w:p w14:paraId="5E9FA422" w14:textId="77777777" w:rsidR="00B56653" w:rsidRDefault="00B56653" w:rsidP="00B56653"/>
    <w:p w14:paraId="3C859F76" w14:textId="77777777" w:rsidR="00B56653" w:rsidRPr="00B56653" w:rsidRDefault="00B56653" w:rsidP="002A6430"/>
    <w:p w14:paraId="7788DB8F" w14:textId="30694151" w:rsidR="009C41E5" w:rsidRPr="002A6430" w:rsidRDefault="009C41E5" w:rsidP="002A6430">
      <w:pPr>
        <w:pStyle w:val="Heading2"/>
      </w:pPr>
      <w:r w:rsidRPr="002A6430">
        <w:t>Key accountabilitie</w:t>
      </w:r>
      <w:r w:rsidR="00240719">
        <w:t>s</w:t>
      </w:r>
    </w:p>
    <w:p w14:paraId="5A9A503D" w14:textId="77777777" w:rsidR="002A6430" w:rsidRPr="002A6430" w:rsidRDefault="009C41E5" w:rsidP="002A6430">
      <w:pPr>
        <w:pStyle w:val="ListBullet"/>
        <w:rPr>
          <w:lang w:eastAsia="en-AU"/>
        </w:rPr>
      </w:pPr>
      <w:r w:rsidRPr="0092418B">
        <w:rPr>
          <w:lang w:eastAsia="en-AU"/>
        </w:rPr>
        <w:t>Collaborate with business units and technical experts to develop business requirement specifications to ensure alignment between customer expectations and current or future Platforms capabilit</w:t>
      </w:r>
      <w:r w:rsidR="00B56653" w:rsidRPr="002A6430">
        <w:rPr>
          <w:lang w:eastAsia="en-AU"/>
        </w:rPr>
        <w:t>y</w:t>
      </w:r>
    </w:p>
    <w:p w14:paraId="58D857D9" w14:textId="00B5D433" w:rsidR="009C41E5" w:rsidRPr="00B56653" w:rsidRDefault="009C41E5" w:rsidP="002A6430">
      <w:pPr>
        <w:pStyle w:val="ListBullet"/>
        <w:rPr>
          <w:lang w:eastAsia="en-AU"/>
        </w:rPr>
      </w:pPr>
      <w:r w:rsidRPr="00B56653">
        <w:rPr>
          <w:lang w:eastAsia="en-AU"/>
        </w:rPr>
        <w:t>Provide input to the strategic direction of technology investments to assist in the development of the enterprise architecture and maximise the return on technology investment</w:t>
      </w:r>
    </w:p>
    <w:p w14:paraId="7EAEF865" w14:textId="3C60B689" w:rsidR="009C41E5" w:rsidRPr="0092418B" w:rsidRDefault="00B04934" w:rsidP="002A6430">
      <w:pPr>
        <w:pStyle w:val="ListBullet"/>
        <w:rPr>
          <w:lang w:eastAsia="en-AU"/>
        </w:rPr>
      </w:pPr>
      <w:r>
        <w:rPr>
          <w:lang w:eastAsia="en-AU"/>
        </w:rPr>
        <w:t>Oversee the</w:t>
      </w:r>
      <w:r w:rsidR="009C41E5" w:rsidRPr="0092418B">
        <w:rPr>
          <w:lang w:eastAsia="en-AU"/>
        </w:rPr>
        <w:t xml:space="preserve"> develop</w:t>
      </w:r>
      <w:r>
        <w:rPr>
          <w:lang w:eastAsia="en-AU"/>
        </w:rPr>
        <w:t>ment,</w:t>
      </w:r>
      <w:r w:rsidRPr="0092418B">
        <w:rPr>
          <w:lang w:eastAsia="en-AU"/>
        </w:rPr>
        <w:t xml:space="preserve"> </w:t>
      </w:r>
      <w:r w:rsidR="009C41E5" w:rsidRPr="0092418B">
        <w:rPr>
          <w:lang w:eastAsia="en-AU"/>
        </w:rPr>
        <w:t>test</w:t>
      </w:r>
      <w:r>
        <w:rPr>
          <w:lang w:eastAsia="en-AU"/>
        </w:rPr>
        <w:t>ing</w:t>
      </w:r>
      <w:r w:rsidR="009C41E5" w:rsidRPr="0092418B">
        <w:rPr>
          <w:lang w:eastAsia="en-AU"/>
        </w:rPr>
        <w:t xml:space="preserve"> and implement</w:t>
      </w:r>
      <w:r>
        <w:rPr>
          <w:lang w:eastAsia="en-AU"/>
        </w:rPr>
        <w:t>ation of</w:t>
      </w:r>
      <w:r w:rsidR="009C41E5" w:rsidRPr="0092418B">
        <w:rPr>
          <w:lang w:eastAsia="en-AU"/>
        </w:rPr>
        <w:t xml:space="preserve"> technology solutions and report on delivery commitments to ensure solutions are implemented as expected and to agreed timeframes</w:t>
      </w:r>
    </w:p>
    <w:p w14:paraId="197C2F5C" w14:textId="4A7F6AF5" w:rsidR="009C41E5" w:rsidRPr="0092418B" w:rsidRDefault="009C41E5" w:rsidP="002A6430">
      <w:pPr>
        <w:pStyle w:val="ListBullet"/>
        <w:rPr>
          <w:lang w:eastAsia="en-AU"/>
        </w:rPr>
      </w:pPr>
      <w:r w:rsidRPr="0092418B">
        <w:rPr>
          <w:lang w:eastAsia="en-AU"/>
        </w:rPr>
        <w:lastRenderedPageBreak/>
        <w:t>Manage stakeholder relationships through effective communication, negotiation and issues management to ensure stakeholders are engaged throughout the project and project deliverables are met</w:t>
      </w:r>
    </w:p>
    <w:p w14:paraId="4C3188DB" w14:textId="7A72209B" w:rsidR="009C41E5" w:rsidRPr="0092418B" w:rsidRDefault="009C41E5" w:rsidP="002A6430">
      <w:pPr>
        <w:pStyle w:val="ListBullet"/>
        <w:rPr>
          <w:lang w:eastAsia="en-AU"/>
        </w:rPr>
      </w:pPr>
      <w:r w:rsidRPr="0092418B">
        <w:rPr>
          <w:lang w:eastAsia="en-AU"/>
        </w:rPr>
        <w:t>Lead and connect all parties involved in the solution, including business analysts, project managers, vendors, developers, and more</w:t>
      </w:r>
    </w:p>
    <w:p w14:paraId="235C0863" w14:textId="48022422" w:rsidR="009C41E5" w:rsidRPr="0092418B" w:rsidRDefault="009C41E5" w:rsidP="002A6430">
      <w:pPr>
        <w:pStyle w:val="ListBullet"/>
        <w:rPr>
          <w:lang w:eastAsia="en-AU"/>
        </w:rPr>
      </w:pPr>
      <w:r w:rsidRPr="0092418B">
        <w:rPr>
          <w:lang w:eastAsia="en-AU"/>
        </w:rPr>
        <w:t>Provide expert advice and information to stakeholders on emerging project issues and present recommendations to support project delivery in line with established plans, budgets, timeframes, policy objectives and other project priorities</w:t>
      </w:r>
    </w:p>
    <w:p w14:paraId="1CBA74BD" w14:textId="14D7386A" w:rsidR="009C41E5" w:rsidRPr="0092418B" w:rsidRDefault="00B56653" w:rsidP="002A6430">
      <w:pPr>
        <w:pStyle w:val="ListBullet"/>
        <w:rPr>
          <w:lang w:eastAsia="en-AU"/>
        </w:rPr>
      </w:pPr>
      <w:r w:rsidRPr="002A6430">
        <w:rPr>
          <w:lang w:eastAsia="en-AU"/>
        </w:rPr>
        <w:t>D</w:t>
      </w:r>
      <w:r w:rsidRPr="0092418B">
        <w:rPr>
          <w:lang w:eastAsia="en-AU"/>
        </w:rPr>
        <w:t xml:space="preserve">efine </w:t>
      </w:r>
      <w:r w:rsidR="009C41E5" w:rsidRPr="0092418B">
        <w:rPr>
          <w:lang w:eastAsia="en-AU"/>
        </w:rPr>
        <w:t>and design technology solutions to assist the business in meeting their business objectives</w:t>
      </w:r>
      <w:r w:rsidRPr="002A6430">
        <w:rPr>
          <w:lang w:eastAsia="en-AU"/>
        </w:rPr>
        <w:t xml:space="preserve"> within agreed </w:t>
      </w:r>
      <w:r w:rsidR="00A107E4" w:rsidRPr="002A6430">
        <w:rPr>
          <w:lang w:eastAsia="en-AU"/>
        </w:rPr>
        <w:t>enterprise architecture</w:t>
      </w:r>
    </w:p>
    <w:p w14:paraId="381D4808" w14:textId="12EF98B4" w:rsidR="009C41E5" w:rsidRPr="0092418B" w:rsidRDefault="009C41E5" w:rsidP="002A6430">
      <w:pPr>
        <w:pStyle w:val="ListBullet"/>
        <w:rPr>
          <w:lang w:eastAsia="en-AU"/>
        </w:rPr>
      </w:pPr>
      <w:r w:rsidRPr="0092418B">
        <w:rPr>
          <w:lang w:eastAsia="en-AU"/>
        </w:rPr>
        <w:t>Develop, test and implement technology solutions and report on delivery commitments to ensure solutions are implemented as expected and to agreed timeframes</w:t>
      </w:r>
    </w:p>
    <w:bookmarkEnd w:id="1"/>
    <w:p w14:paraId="35F1C787"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09685B23" w14:textId="77777777" w:rsidR="002A0BDA" w:rsidRDefault="002A0BDA" w:rsidP="002A0BDA">
      <w:pPr>
        <w:pStyle w:val="Default"/>
      </w:pPr>
    </w:p>
    <w:p w14:paraId="037CF7AE" w14:textId="77777777" w:rsidR="002A0BDA" w:rsidRDefault="002A0BDA" w:rsidP="002A0BDA">
      <w:pPr>
        <w:pStyle w:val="ListBullet"/>
      </w:pPr>
      <w:r>
        <w:t xml:space="preserve">Managing complex and sensitive consultations and negotiations with diverse stakeholders, within agreed timelines, given their varying expectations, viewpoints and interests </w:t>
      </w:r>
    </w:p>
    <w:p w14:paraId="6C3676E5" w14:textId="7A4332A3" w:rsidR="002A0BDA" w:rsidRDefault="002A0BDA" w:rsidP="002A0BDA">
      <w:pPr>
        <w:pStyle w:val="ListBullet"/>
      </w:pPr>
      <w:r>
        <w:t xml:space="preserve">Identify interdependencies and balance competing demands to ensure project objectives are achieved and governance and reporting requirements are met. </w:t>
      </w:r>
    </w:p>
    <w:p w14:paraId="105D4CF8" w14:textId="77777777" w:rsidR="003D603C" w:rsidRDefault="003D603C" w:rsidP="003D603C">
      <w:pPr>
        <w:pStyle w:val="Heading2"/>
      </w:pPr>
      <w:bookmarkStart w:id="2" w:name="_Hlk116559863"/>
      <w:r>
        <w:t>Key relationships</w:t>
      </w:r>
    </w:p>
    <w:p w14:paraId="665E7E23" w14:textId="77777777" w:rsidR="003D603C" w:rsidRDefault="003D603C" w:rsidP="003D603C">
      <w:pPr>
        <w:spacing w:before="360"/>
        <w:rPr>
          <w:b/>
          <w:bCs/>
        </w:rPr>
      </w:pPr>
      <w:r>
        <w:rPr>
          <w:b/>
          <w:bCs/>
        </w:rPr>
        <w:t>Internal</w:t>
      </w:r>
    </w:p>
    <w:tbl>
      <w:tblPr>
        <w:tblStyle w:val="PSCPurple"/>
        <w:tblW w:w="10545"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0"/>
        <w:gridCol w:w="6945"/>
      </w:tblGrid>
      <w:tr w:rsidR="003D603C" w14:paraId="515CFCAC" w14:textId="77777777" w:rsidTr="003D603C">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752F8A"/>
            <w:hideMark/>
          </w:tcPr>
          <w:p w14:paraId="69A80763" w14:textId="77777777" w:rsidR="003D603C" w:rsidRDefault="003D603C">
            <w:pPr>
              <w:pStyle w:val="TableTextWhite0"/>
            </w:pPr>
            <w:r>
              <w:t>Who</w:t>
            </w:r>
          </w:p>
        </w:tc>
        <w:tc>
          <w:tcPr>
            <w:tcW w:w="6946" w:type="dxa"/>
            <w:shd w:val="clear" w:color="auto" w:fill="752F8A"/>
            <w:hideMark/>
          </w:tcPr>
          <w:p w14:paraId="6E306343" w14:textId="77777777" w:rsidR="003D603C" w:rsidRDefault="003D603C">
            <w:pPr>
              <w:pStyle w:val="TableTextWhite0"/>
            </w:pPr>
            <w:r>
              <w:t>Why</w:t>
            </w:r>
          </w:p>
        </w:tc>
      </w:tr>
      <w:tr w:rsidR="003D603C" w14:paraId="4F892F57" w14:textId="77777777" w:rsidTr="003D603C">
        <w:trPr>
          <w:cantSplit/>
        </w:trPr>
        <w:tc>
          <w:tcPr>
            <w:tcW w:w="3601" w:type="dxa"/>
            <w:tcBorders>
              <w:top w:val="single" w:sz="8" w:space="0" w:color="auto"/>
              <w:left w:val="nil"/>
              <w:bottom w:val="single" w:sz="8" w:space="0" w:color="auto"/>
              <w:right w:val="nil"/>
            </w:tcBorders>
            <w:hideMark/>
          </w:tcPr>
          <w:p w14:paraId="77562BB9" w14:textId="77777777" w:rsidR="003D603C" w:rsidRPr="00BB5296" w:rsidRDefault="003D603C">
            <w:pPr>
              <w:pStyle w:val="TableText"/>
            </w:pPr>
            <w:bookmarkStart w:id="3" w:name="InternalRelationships"/>
            <w:r w:rsidRPr="00BB5296">
              <w:t>Manager</w:t>
            </w:r>
          </w:p>
        </w:tc>
        <w:tc>
          <w:tcPr>
            <w:tcW w:w="6946" w:type="dxa"/>
            <w:tcBorders>
              <w:top w:val="single" w:sz="8" w:space="0" w:color="auto"/>
              <w:left w:val="nil"/>
              <w:bottom w:val="single" w:sz="8" w:space="0" w:color="auto"/>
              <w:right w:val="nil"/>
            </w:tcBorders>
            <w:hideMark/>
          </w:tcPr>
          <w:p w14:paraId="3FD83EDC" w14:textId="77777777" w:rsidR="003D603C" w:rsidRPr="00BB5296" w:rsidRDefault="003D603C" w:rsidP="003D603C">
            <w:pPr>
              <w:pStyle w:val="ListBullet"/>
              <w:numPr>
                <w:ilvl w:val="0"/>
                <w:numId w:val="15"/>
              </w:numPr>
              <w:rPr>
                <w:sz w:val="20"/>
              </w:rPr>
            </w:pPr>
            <w:r w:rsidRPr="00BB5296">
              <w:rPr>
                <w:sz w:val="20"/>
              </w:rPr>
              <w:t>Provide expert strategic and technical advice to influence decisions regarding ICT initiatives and innovation</w:t>
            </w:r>
          </w:p>
          <w:p w14:paraId="65F05210" w14:textId="77777777" w:rsidR="003D603C" w:rsidRPr="00BB5296" w:rsidRDefault="003D603C" w:rsidP="003D603C">
            <w:pPr>
              <w:pStyle w:val="ListBullet"/>
              <w:numPr>
                <w:ilvl w:val="0"/>
                <w:numId w:val="15"/>
              </w:numPr>
              <w:rPr>
                <w:sz w:val="20"/>
                <w:lang w:eastAsia="en-AU"/>
              </w:rPr>
            </w:pPr>
            <w:r w:rsidRPr="00BB5296">
              <w:rPr>
                <w:sz w:val="20"/>
              </w:rPr>
              <w:t>Identification of capabilities and areas of improvement</w:t>
            </w:r>
          </w:p>
        </w:tc>
      </w:tr>
      <w:tr w:rsidR="003D603C" w14:paraId="59BFFE8C" w14:textId="77777777" w:rsidTr="003D603C">
        <w:trPr>
          <w:cantSplit/>
        </w:trPr>
        <w:tc>
          <w:tcPr>
            <w:tcW w:w="3601" w:type="dxa"/>
            <w:tcBorders>
              <w:top w:val="single" w:sz="8" w:space="0" w:color="auto"/>
              <w:left w:val="nil"/>
              <w:bottom w:val="single" w:sz="8" w:space="0" w:color="auto"/>
              <w:right w:val="nil"/>
            </w:tcBorders>
            <w:hideMark/>
          </w:tcPr>
          <w:p w14:paraId="5CE9FC4A" w14:textId="77777777" w:rsidR="003D603C" w:rsidRPr="00BB5296" w:rsidRDefault="003D603C">
            <w:pPr>
              <w:pStyle w:val="TableText"/>
            </w:pPr>
            <w:r w:rsidRPr="00BB5296">
              <w:t>Work team</w:t>
            </w:r>
          </w:p>
        </w:tc>
        <w:tc>
          <w:tcPr>
            <w:tcW w:w="6946" w:type="dxa"/>
            <w:tcBorders>
              <w:top w:val="single" w:sz="8" w:space="0" w:color="auto"/>
              <w:left w:val="nil"/>
              <w:bottom w:val="single" w:sz="8" w:space="0" w:color="auto"/>
              <w:right w:val="nil"/>
            </w:tcBorders>
            <w:hideMark/>
          </w:tcPr>
          <w:p w14:paraId="17807B00" w14:textId="77777777" w:rsidR="003D603C" w:rsidRPr="00BB5296" w:rsidRDefault="003D603C" w:rsidP="003D603C">
            <w:pPr>
              <w:pStyle w:val="ListBullet"/>
              <w:numPr>
                <w:ilvl w:val="0"/>
                <w:numId w:val="15"/>
              </w:numPr>
              <w:rPr>
                <w:sz w:val="20"/>
              </w:rPr>
            </w:pPr>
            <w:r w:rsidRPr="00BB5296">
              <w:rPr>
                <w:sz w:val="20"/>
              </w:rPr>
              <w:t>Represent work group perspective and share information</w:t>
            </w:r>
          </w:p>
          <w:p w14:paraId="36FB79DB" w14:textId="77777777" w:rsidR="003D603C" w:rsidRPr="00BB5296" w:rsidRDefault="003D603C" w:rsidP="003D603C">
            <w:pPr>
              <w:pStyle w:val="ListBullet"/>
              <w:numPr>
                <w:ilvl w:val="0"/>
                <w:numId w:val="15"/>
              </w:numPr>
              <w:rPr>
                <w:sz w:val="20"/>
              </w:rPr>
            </w:pPr>
            <w:r w:rsidRPr="00BB5296">
              <w:rPr>
                <w:sz w:val="20"/>
              </w:rPr>
              <w:t>Lead discussions and decisions regarding implementation of innovation and best practice</w:t>
            </w:r>
          </w:p>
          <w:p w14:paraId="687E8BA4" w14:textId="77777777" w:rsidR="003D603C" w:rsidRPr="00BB5296" w:rsidRDefault="003D603C" w:rsidP="003D603C">
            <w:pPr>
              <w:pStyle w:val="ListBullet"/>
              <w:numPr>
                <w:ilvl w:val="0"/>
                <w:numId w:val="15"/>
              </w:numPr>
              <w:rPr>
                <w:sz w:val="20"/>
                <w:lang w:eastAsia="en-AU"/>
              </w:rPr>
            </w:pPr>
            <w:r w:rsidRPr="00BB5296">
              <w:rPr>
                <w:sz w:val="20"/>
              </w:rPr>
              <w:t>Inspire and motivate team, provide direction and manage performance</w:t>
            </w:r>
          </w:p>
        </w:tc>
      </w:tr>
      <w:tr w:rsidR="003D603C" w14:paraId="320DA76C" w14:textId="77777777" w:rsidTr="003D603C">
        <w:trPr>
          <w:cantSplit/>
        </w:trPr>
        <w:tc>
          <w:tcPr>
            <w:tcW w:w="3601" w:type="dxa"/>
            <w:tcBorders>
              <w:top w:val="single" w:sz="8" w:space="0" w:color="auto"/>
              <w:left w:val="nil"/>
              <w:bottom w:val="single" w:sz="4" w:space="0" w:color="auto"/>
              <w:right w:val="nil"/>
            </w:tcBorders>
            <w:hideMark/>
          </w:tcPr>
          <w:p w14:paraId="3595373F" w14:textId="77777777" w:rsidR="003D603C" w:rsidRPr="00BB5296" w:rsidRDefault="003D603C">
            <w:pPr>
              <w:pStyle w:val="TableText"/>
            </w:pPr>
            <w:r w:rsidRPr="00BB5296">
              <w:t>Client / customers</w:t>
            </w:r>
          </w:p>
        </w:tc>
        <w:tc>
          <w:tcPr>
            <w:tcW w:w="6946" w:type="dxa"/>
            <w:tcBorders>
              <w:top w:val="single" w:sz="8" w:space="0" w:color="auto"/>
              <w:left w:val="nil"/>
              <w:bottom w:val="single" w:sz="4" w:space="0" w:color="auto"/>
              <w:right w:val="nil"/>
            </w:tcBorders>
            <w:hideMark/>
          </w:tcPr>
          <w:p w14:paraId="3875456D" w14:textId="77777777" w:rsidR="003D603C" w:rsidRPr="00BB5296" w:rsidRDefault="003D603C" w:rsidP="003D603C">
            <w:pPr>
              <w:pStyle w:val="ListBullet"/>
              <w:numPr>
                <w:ilvl w:val="0"/>
                <w:numId w:val="15"/>
              </w:numPr>
              <w:rPr>
                <w:sz w:val="20"/>
              </w:rPr>
            </w:pPr>
            <w:r w:rsidRPr="00BB5296">
              <w:rPr>
                <w:sz w:val="20"/>
              </w:rPr>
              <w:t>Provide strategic advice for business innovation</w:t>
            </w:r>
          </w:p>
          <w:p w14:paraId="05F542C3" w14:textId="77777777" w:rsidR="003D603C" w:rsidRPr="00BB5296" w:rsidRDefault="003D603C" w:rsidP="003D603C">
            <w:pPr>
              <w:pStyle w:val="ListBullet"/>
              <w:numPr>
                <w:ilvl w:val="0"/>
                <w:numId w:val="15"/>
              </w:numPr>
              <w:rPr>
                <w:sz w:val="20"/>
              </w:rPr>
            </w:pPr>
            <w:r w:rsidRPr="00BB5296">
              <w:rPr>
                <w:sz w:val="20"/>
              </w:rPr>
              <w:t>Resolve escalations and provide solutions to problems</w:t>
            </w:r>
          </w:p>
          <w:p w14:paraId="2D0EF65A" w14:textId="77777777" w:rsidR="003D603C" w:rsidRPr="00BB5296" w:rsidRDefault="003D603C" w:rsidP="003D603C">
            <w:pPr>
              <w:pStyle w:val="ListBullet"/>
              <w:numPr>
                <w:ilvl w:val="0"/>
                <w:numId w:val="15"/>
              </w:numPr>
              <w:rPr>
                <w:sz w:val="20"/>
                <w:lang w:eastAsia="en-AU"/>
              </w:rPr>
            </w:pPr>
            <w:r w:rsidRPr="00BB5296">
              <w:rPr>
                <w:sz w:val="20"/>
              </w:rPr>
              <w:t>Provide guidance and direction as a subject matter expert for DIO</w:t>
            </w:r>
          </w:p>
        </w:tc>
      </w:tr>
      <w:bookmarkEnd w:id="2"/>
      <w:bookmarkEnd w:id="3"/>
    </w:tbl>
    <w:p w14:paraId="58DAD73C" w14:textId="77777777" w:rsidR="002A6430" w:rsidRDefault="002A6430" w:rsidP="003D603C">
      <w:pPr>
        <w:spacing w:before="360"/>
        <w:rPr>
          <w:b/>
          <w:bCs/>
        </w:rPr>
      </w:pPr>
    </w:p>
    <w:p w14:paraId="2B4627C7" w14:textId="77777777" w:rsidR="002A6430" w:rsidRDefault="002A6430" w:rsidP="003D603C">
      <w:pPr>
        <w:spacing w:before="360"/>
        <w:rPr>
          <w:b/>
          <w:bCs/>
        </w:rPr>
      </w:pPr>
    </w:p>
    <w:p w14:paraId="5A7849DA" w14:textId="77777777" w:rsidR="002A6430" w:rsidRDefault="002A6430" w:rsidP="003D603C">
      <w:pPr>
        <w:spacing w:before="360"/>
        <w:rPr>
          <w:b/>
          <w:bCs/>
        </w:rPr>
      </w:pPr>
    </w:p>
    <w:p w14:paraId="45EBE41F" w14:textId="77777777" w:rsidR="00240719" w:rsidRDefault="00240719" w:rsidP="003D603C">
      <w:pPr>
        <w:spacing w:before="360"/>
        <w:rPr>
          <w:b/>
          <w:bCs/>
        </w:rPr>
      </w:pPr>
    </w:p>
    <w:p w14:paraId="68A344D4" w14:textId="77777777" w:rsidR="00240719" w:rsidRDefault="00240719" w:rsidP="003D603C">
      <w:pPr>
        <w:spacing w:before="360"/>
        <w:rPr>
          <w:b/>
          <w:bCs/>
        </w:rPr>
      </w:pPr>
    </w:p>
    <w:p w14:paraId="07081C88" w14:textId="77777777" w:rsidR="00240719" w:rsidRDefault="00240719" w:rsidP="003D603C">
      <w:pPr>
        <w:spacing w:before="360"/>
        <w:rPr>
          <w:b/>
          <w:bCs/>
        </w:rPr>
      </w:pPr>
    </w:p>
    <w:p w14:paraId="6C19EB7D" w14:textId="77777777" w:rsidR="00240719" w:rsidRDefault="00240719" w:rsidP="003D603C">
      <w:pPr>
        <w:spacing w:before="360"/>
        <w:rPr>
          <w:b/>
          <w:bCs/>
        </w:rPr>
      </w:pPr>
    </w:p>
    <w:p w14:paraId="50DCB413" w14:textId="682E7CD8" w:rsidR="003D603C" w:rsidRDefault="003D603C" w:rsidP="003D603C">
      <w:pPr>
        <w:spacing w:before="360"/>
        <w:rPr>
          <w:b/>
          <w:bCs/>
        </w:rPr>
      </w:pPr>
      <w:r>
        <w:rPr>
          <w:b/>
          <w:bCs/>
        </w:rPr>
        <w:lastRenderedPageBreak/>
        <w:t>External</w:t>
      </w:r>
    </w:p>
    <w:tbl>
      <w:tblPr>
        <w:tblStyle w:val="PSCPurple"/>
        <w:tblW w:w="10545"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0"/>
        <w:gridCol w:w="6945"/>
      </w:tblGrid>
      <w:tr w:rsidR="003D603C" w14:paraId="26D497F9" w14:textId="77777777" w:rsidTr="00945B34">
        <w:trPr>
          <w:cnfStyle w:val="100000000000" w:firstRow="1" w:lastRow="0" w:firstColumn="0" w:lastColumn="0" w:oddVBand="0" w:evenVBand="0" w:oddHBand="0" w:evenHBand="0" w:firstRowFirstColumn="0" w:firstRowLastColumn="0" w:lastRowFirstColumn="0" w:lastRowLastColumn="0"/>
          <w:tblHeader/>
        </w:trPr>
        <w:tc>
          <w:tcPr>
            <w:tcW w:w="3600" w:type="dxa"/>
            <w:shd w:val="clear" w:color="auto" w:fill="752F8A"/>
            <w:hideMark/>
          </w:tcPr>
          <w:p w14:paraId="3DF50E93" w14:textId="77777777" w:rsidR="003D603C" w:rsidRDefault="003D603C">
            <w:pPr>
              <w:pStyle w:val="TableTextWhite0"/>
            </w:pPr>
            <w:r>
              <w:t>Who</w:t>
            </w:r>
          </w:p>
        </w:tc>
        <w:tc>
          <w:tcPr>
            <w:tcW w:w="6945" w:type="dxa"/>
            <w:shd w:val="clear" w:color="auto" w:fill="752F8A"/>
            <w:hideMark/>
          </w:tcPr>
          <w:p w14:paraId="7D3CF6CA" w14:textId="77777777" w:rsidR="003D603C" w:rsidRDefault="003D603C">
            <w:pPr>
              <w:pStyle w:val="TableTextWhite0"/>
            </w:pPr>
            <w:r>
              <w:t>Why</w:t>
            </w:r>
          </w:p>
        </w:tc>
      </w:tr>
      <w:tr w:rsidR="003D603C" w14:paraId="68630C5F" w14:textId="77777777" w:rsidTr="00945B34">
        <w:trPr>
          <w:cantSplit/>
        </w:trPr>
        <w:tc>
          <w:tcPr>
            <w:tcW w:w="3600" w:type="dxa"/>
            <w:tcBorders>
              <w:top w:val="single" w:sz="8" w:space="0" w:color="auto"/>
              <w:left w:val="nil"/>
              <w:bottom w:val="single" w:sz="8" w:space="0" w:color="auto"/>
              <w:right w:val="nil"/>
            </w:tcBorders>
            <w:hideMark/>
          </w:tcPr>
          <w:p w14:paraId="44D6F736" w14:textId="77777777" w:rsidR="003D603C" w:rsidRPr="00BB5296" w:rsidRDefault="003D603C">
            <w:pPr>
              <w:pStyle w:val="TableText"/>
            </w:pPr>
            <w:bookmarkStart w:id="4" w:name="ExternalRelationships"/>
            <w:r w:rsidRPr="00BB5296">
              <w:t>Customers / stakeholders</w:t>
            </w:r>
          </w:p>
        </w:tc>
        <w:tc>
          <w:tcPr>
            <w:tcW w:w="6945" w:type="dxa"/>
            <w:tcBorders>
              <w:top w:val="single" w:sz="8" w:space="0" w:color="auto"/>
              <w:left w:val="nil"/>
              <w:bottom w:val="single" w:sz="8" w:space="0" w:color="auto"/>
              <w:right w:val="nil"/>
            </w:tcBorders>
            <w:hideMark/>
          </w:tcPr>
          <w:p w14:paraId="05D69E99" w14:textId="77777777" w:rsidR="003D603C" w:rsidRPr="00BB5296" w:rsidRDefault="003D603C" w:rsidP="003D603C">
            <w:pPr>
              <w:pStyle w:val="ListBullet"/>
              <w:numPr>
                <w:ilvl w:val="0"/>
                <w:numId w:val="15"/>
              </w:numPr>
              <w:rPr>
                <w:sz w:val="20"/>
              </w:rPr>
            </w:pPr>
            <w:r w:rsidRPr="00BB5296">
              <w:rPr>
                <w:sz w:val="20"/>
              </w:rPr>
              <w:t>Respond and resolve queries, providing information and/or resources or redirect to the appropriate person or business unit if required</w:t>
            </w:r>
          </w:p>
          <w:p w14:paraId="158F0E1B" w14:textId="77777777" w:rsidR="003D603C" w:rsidRPr="00BB5296" w:rsidRDefault="003D603C" w:rsidP="003D603C">
            <w:pPr>
              <w:pStyle w:val="ListBullet"/>
              <w:numPr>
                <w:ilvl w:val="0"/>
                <w:numId w:val="15"/>
              </w:numPr>
              <w:rPr>
                <w:sz w:val="20"/>
              </w:rPr>
            </w:pPr>
            <w:r w:rsidRPr="00BB5296">
              <w:rPr>
                <w:sz w:val="20"/>
              </w:rPr>
              <w:t>Develop and maintain effective working relationships and open channels of communication to provide and obtain information, and ensure effective management and implementation of expectations and standards</w:t>
            </w:r>
          </w:p>
          <w:p w14:paraId="2C1CCFF7" w14:textId="77777777" w:rsidR="003D603C" w:rsidRPr="00BB5296" w:rsidRDefault="003D603C" w:rsidP="003D603C">
            <w:pPr>
              <w:pStyle w:val="ListBullet"/>
              <w:numPr>
                <w:ilvl w:val="0"/>
                <w:numId w:val="15"/>
              </w:numPr>
              <w:rPr>
                <w:sz w:val="20"/>
                <w:lang w:eastAsia="en-AU"/>
              </w:rPr>
            </w:pPr>
            <w:r w:rsidRPr="00BB5296">
              <w:rPr>
                <w:sz w:val="20"/>
              </w:rPr>
              <w:t>Engage with, consult, seek clarification and provide customer focused advice and responses to ensure the prompt resolution of issues</w:t>
            </w:r>
          </w:p>
        </w:tc>
      </w:tr>
      <w:tr w:rsidR="003D603C" w14:paraId="46056158" w14:textId="77777777" w:rsidTr="00945B34">
        <w:trPr>
          <w:cantSplit/>
        </w:trPr>
        <w:tc>
          <w:tcPr>
            <w:tcW w:w="3600" w:type="dxa"/>
            <w:tcBorders>
              <w:top w:val="single" w:sz="8" w:space="0" w:color="auto"/>
              <w:left w:val="nil"/>
              <w:bottom w:val="single" w:sz="8" w:space="0" w:color="auto"/>
              <w:right w:val="nil"/>
            </w:tcBorders>
            <w:hideMark/>
          </w:tcPr>
          <w:p w14:paraId="401AE169" w14:textId="77777777" w:rsidR="003D603C" w:rsidRPr="00BB5296" w:rsidRDefault="003D603C">
            <w:pPr>
              <w:pStyle w:val="TableText"/>
            </w:pPr>
            <w:r w:rsidRPr="00BB5296">
              <w:t>Industry and industry leaders</w:t>
            </w:r>
          </w:p>
        </w:tc>
        <w:tc>
          <w:tcPr>
            <w:tcW w:w="6945" w:type="dxa"/>
            <w:tcBorders>
              <w:top w:val="single" w:sz="8" w:space="0" w:color="auto"/>
              <w:left w:val="nil"/>
              <w:bottom w:val="single" w:sz="8" w:space="0" w:color="auto"/>
              <w:right w:val="nil"/>
            </w:tcBorders>
            <w:hideMark/>
          </w:tcPr>
          <w:p w14:paraId="62463DDA" w14:textId="77777777" w:rsidR="003D603C" w:rsidRPr="00BB5296" w:rsidRDefault="003D603C" w:rsidP="003D603C">
            <w:pPr>
              <w:pStyle w:val="ListBullet"/>
              <w:numPr>
                <w:ilvl w:val="0"/>
                <w:numId w:val="15"/>
              </w:numPr>
              <w:rPr>
                <w:sz w:val="20"/>
              </w:rPr>
            </w:pPr>
            <w:r w:rsidRPr="00BB5296">
              <w:rPr>
                <w:sz w:val="20"/>
              </w:rPr>
              <w:t xml:space="preserve">Provide agency vision to promote agency perspective within the industry </w:t>
            </w:r>
          </w:p>
          <w:p w14:paraId="3BBFC3B0" w14:textId="77777777" w:rsidR="003D603C" w:rsidRPr="00BB5296" w:rsidRDefault="003D603C" w:rsidP="003D603C">
            <w:pPr>
              <w:pStyle w:val="ListBullet"/>
              <w:numPr>
                <w:ilvl w:val="0"/>
                <w:numId w:val="15"/>
              </w:numPr>
              <w:rPr>
                <w:sz w:val="20"/>
              </w:rPr>
            </w:pPr>
            <w:r w:rsidRPr="00BB5296">
              <w:rPr>
                <w:sz w:val="20"/>
              </w:rPr>
              <w:t xml:space="preserve">Collaborate and share information. </w:t>
            </w:r>
          </w:p>
          <w:p w14:paraId="46C31B91" w14:textId="77777777" w:rsidR="003D603C" w:rsidRPr="00BB5296" w:rsidRDefault="003D603C" w:rsidP="003D603C">
            <w:pPr>
              <w:pStyle w:val="ListBullet"/>
              <w:numPr>
                <w:ilvl w:val="0"/>
                <w:numId w:val="15"/>
              </w:numPr>
              <w:rPr>
                <w:sz w:val="20"/>
                <w:lang w:eastAsia="en-AU"/>
              </w:rPr>
            </w:pPr>
            <w:r w:rsidRPr="00BB5296">
              <w:rPr>
                <w:sz w:val="20"/>
              </w:rPr>
              <w:t>Identify opportunities for partnering to address current and future needs and capitalise on innovation and best practice</w:t>
            </w:r>
          </w:p>
        </w:tc>
      </w:tr>
      <w:tr w:rsidR="00945B34" w14:paraId="199071EC" w14:textId="77777777" w:rsidTr="00945B34">
        <w:trPr>
          <w:cantSplit/>
        </w:trPr>
        <w:tc>
          <w:tcPr>
            <w:tcW w:w="3600" w:type="dxa"/>
            <w:tcBorders>
              <w:top w:val="single" w:sz="8" w:space="0" w:color="auto"/>
              <w:left w:val="nil"/>
              <w:bottom w:val="single" w:sz="4" w:space="0" w:color="auto"/>
              <w:right w:val="nil"/>
            </w:tcBorders>
            <w:hideMark/>
          </w:tcPr>
          <w:p w14:paraId="57743460" w14:textId="1A80F07C" w:rsidR="00945B34" w:rsidRPr="00BB5296" w:rsidRDefault="00945B34" w:rsidP="00945B34">
            <w:pPr>
              <w:pStyle w:val="TableText"/>
            </w:pPr>
            <w:r>
              <w:t xml:space="preserve">Vendors/Service Providers and Consultants </w:t>
            </w:r>
          </w:p>
        </w:tc>
        <w:tc>
          <w:tcPr>
            <w:tcW w:w="6945" w:type="dxa"/>
            <w:tcBorders>
              <w:top w:val="single" w:sz="8" w:space="0" w:color="auto"/>
              <w:left w:val="nil"/>
              <w:bottom w:val="single" w:sz="4" w:space="0" w:color="auto"/>
              <w:right w:val="nil"/>
            </w:tcBorders>
            <w:hideMark/>
          </w:tcPr>
          <w:p w14:paraId="53CD5D15" w14:textId="77777777" w:rsidR="00945B34" w:rsidRPr="00B04934" w:rsidRDefault="00945B34" w:rsidP="00B04934">
            <w:pPr>
              <w:pStyle w:val="ListBullet"/>
              <w:numPr>
                <w:ilvl w:val="0"/>
                <w:numId w:val="0"/>
              </w:numPr>
              <w:ind w:left="360"/>
              <w:rPr>
                <w:sz w:val="20"/>
              </w:rPr>
            </w:pPr>
          </w:p>
          <w:p w14:paraId="0878C3E7" w14:textId="169FEAC9" w:rsidR="00945B34" w:rsidRDefault="00945B34" w:rsidP="00B04934">
            <w:pPr>
              <w:pStyle w:val="ListBullet"/>
              <w:numPr>
                <w:ilvl w:val="0"/>
                <w:numId w:val="21"/>
              </w:numPr>
              <w:ind w:left="309" w:hanging="283"/>
              <w:rPr>
                <w:sz w:val="20"/>
              </w:rPr>
            </w:pPr>
            <w:r>
              <w:rPr>
                <w:sz w:val="20"/>
              </w:rPr>
              <w:t xml:space="preserve">Communicate needs, facilitate routine business transactions and resolve issues </w:t>
            </w:r>
          </w:p>
          <w:p w14:paraId="1C001D28" w14:textId="20EB41FD" w:rsidR="00945B34" w:rsidRDefault="00945B34" w:rsidP="00B04934">
            <w:pPr>
              <w:pStyle w:val="ListBullet"/>
              <w:numPr>
                <w:ilvl w:val="0"/>
                <w:numId w:val="15"/>
              </w:numPr>
              <w:ind w:left="309" w:hanging="283"/>
              <w:rPr>
                <w:sz w:val="20"/>
              </w:rPr>
            </w:pPr>
            <w:r>
              <w:rPr>
                <w:sz w:val="20"/>
              </w:rPr>
              <w:t xml:space="preserve">Negotiate and approve contracts and service agreements </w:t>
            </w:r>
          </w:p>
          <w:p w14:paraId="4B6B4FC3" w14:textId="7C4F4CD1" w:rsidR="00945B34" w:rsidRDefault="00945B34" w:rsidP="00B04934">
            <w:pPr>
              <w:pStyle w:val="ListBullet"/>
              <w:numPr>
                <w:ilvl w:val="0"/>
                <w:numId w:val="15"/>
              </w:numPr>
              <w:ind w:left="309" w:hanging="283"/>
              <w:rPr>
                <w:sz w:val="20"/>
              </w:rPr>
            </w:pPr>
            <w:r>
              <w:rPr>
                <w:sz w:val="20"/>
              </w:rPr>
              <w:t xml:space="preserve">Manage contracts and monitor the provision of service to ensure compliance with contract and service agreements </w:t>
            </w:r>
          </w:p>
          <w:p w14:paraId="480C43C3" w14:textId="6E76BF3F" w:rsidR="00945B34" w:rsidRPr="00BB5296" w:rsidRDefault="00945B34" w:rsidP="00B04934">
            <w:pPr>
              <w:pStyle w:val="ListBullet"/>
              <w:numPr>
                <w:ilvl w:val="0"/>
                <w:numId w:val="0"/>
              </w:numPr>
              <w:ind w:left="360"/>
              <w:rPr>
                <w:sz w:val="20"/>
                <w:lang w:eastAsia="en-AU"/>
              </w:rPr>
            </w:pPr>
          </w:p>
        </w:tc>
      </w:tr>
    </w:tbl>
    <w:bookmarkEnd w:id="4"/>
    <w:p w14:paraId="556F3BA8" w14:textId="77777777" w:rsidR="003D603C" w:rsidRDefault="003D603C" w:rsidP="003D603C">
      <w:pPr>
        <w:pStyle w:val="Heading2"/>
      </w:pPr>
      <w:r>
        <w:t>Role dimensions</w:t>
      </w:r>
    </w:p>
    <w:p w14:paraId="27507C77" w14:textId="77777777" w:rsidR="003D603C" w:rsidRDefault="003D603C" w:rsidP="003D603C">
      <w:pPr>
        <w:pStyle w:val="Heading3"/>
      </w:pPr>
      <w:r>
        <w:t>Decision making</w:t>
      </w:r>
    </w:p>
    <w:p w14:paraId="7E0BB72F" w14:textId="77777777" w:rsidR="00DF7B65" w:rsidRPr="00DF7B65" w:rsidRDefault="00DF7B65" w:rsidP="00DF7B65">
      <w:pPr>
        <w:pStyle w:val="ListParagraph"/>
        <w:numPr>
          <w:ilvl w:val="0"/>
          <w:numId w:val="16"/>
        </w:numPr>
        <w:rPr>
          <w:rFonts w:cs="Arial"/>
          <w:szCs w:val="22"/>
        </w:rPr>
      </w:pPr>
      <w:bookmarkStart w:id="5" w:name="_Hlk17372642"/>
      <w:r>
        <w:t xml:space="preserve">This role has autonomy and makes decisions that are under their direct control as directed by their </w:t>
      </w:r>
      <w:proofErr w:type="gramStart"/>
      <w:r>
        <w:t>Manager</w:t>
      </w:r>
      <w:proofErr w:type="gramEnd"/>
      <w:r>
        <w:t>. It refers to the Manager any decisions that require significant change to program outcomes or timeframes or are likely to escalate or require submission to a higher level of management. This role is fully accountable for the delivery of work assignments on time and to expectations in terms of quality, deliverables and outcomes.</w:t>
      </w:r>
    </w:p>
    <w:bookmarkEnd w:id="5"/>
    <w:p w14:paraId="4BB165CD" w14:textId="77777777" w:rsidR="001D133A" w:rsidRDefault="001D133A" w:rsidP="000C453F">
      <w:pPr>
        <w:pStyle w:val="Heading3"/>
      </w:pPr>
      <w:r w:rsidRPr="00C978B9">
        <w:t>Reporting line</w:t>
      </w:r>
    </w:p>
    <w:p w14:paraId="5D85F895" w14:textId="77777777" w:rsidR="001E0FC8" w:rsidRDefault="001E0FC8" w:rsidP="001E0FC8">
      <w:r>
        <w:t>Manager, Application Development &amp; Support</w:t>
      </w:r>
    </w:p>
    <w:p w14:paraId="31193541" w14:textId="77777777" w:rsidR="001D133A" w:rsidRDefault="001D133A" w:rsidP="000C453F">
      <w:pPr>
        <w:pStyle w:val="Heading3"/>
      </w:pPr>
      <w:r w:rsidRPr="00C978B9">
        <w:t>Direct reports</w:t>
      </w:r>
    </w:p>
    <w:p w14:paraId="2F1CD3F5" w14:textId="77777777" w:rsidR="001D133A" w:rsidRPr="00C978B9" w:rsidRDefault="00A55204" w:rsidP="001D133A">
      <w:r>
        <w:t>Nil</w:t>
      </w:r>
    </w:p>
    <w:p w14:paraId="7FFC3392" w14:textId="77777777" w:rsidR="001D133A" w:rsidRDefault="001D133A" w:rsidP="000C453F">
      <w:pPr>
        <w:pStyle w:val="Heading3"/>
      </w:pPr>
      <w:r w:rsidRPr="00C978B9">
        <w:t>Budget/Expenditure</w:t>
      </w:r>
    </w:p>
    <w:p w14:paraId="09535284" w14:textId="66F8441B" w:rsidR="005505E4" w:rsidRDefault="002B47B4" w:rsidP="005505E4">
      <w:r>
        <w:t>Nil</w:t>
      </w:r>
    </w:p>
    <w:p w14:paraId="5C9149C6" w14:textId="77777777" w:rsidR="00911D8D" w:rsidRPr="000C453F" w:rsidRDefault="00911D8D" w:rsidP="000C453F">
      <w:pPr>
        <w:pStyle w:val="Heading2"/>
        <w:rPr>
          <w:rStyle w:val="Heading1Char"/>
          <w:b/>
          <w:bCs/>
          <w:kern w:val="0"/>
          <w:sz w:val="26"/>
          <w:szCs w:val="28"/>
        </w:rPr>
      </w:pPr>
      <w:bookmarkStart w:id="6" w:name="_Hlk40707470"/>
      <w:r w:rsidRPr="000C453F">
        <w:rPr>
          <w:rStyle w:val="Heading1Char"/>
          <w:b/>
          <w:bCs/>
          <w:kern w:val="0"/>
          <w:sz w:val="26"/>
          <w:szCs w:val="28"/>
        </w:rPr>
        <w:t>Key knowledge and experience</w:t>
      </w:r>
    </w:p>
    <w:p w14:paraId="250B8365" w14:textId="0A984114" w:rsidR="00CC2983" w:rsidRPr="00CC2983" w:rsidRDefault="00CC2983" w:rsidP="00CC2983">
      <w:pPr>
        <w:pStyle w:val="ListBullet"/>
        <w:rPr>
          <w:lang w:eastAsia="en-AU"/>
        </w:rPr>
      </w:pPr>
      <w:r w:rsidRPr="00CC2983">
        <w:rPr>
          <w:lang w:eastAsia="en-AU"/>
        </w:rPr>
        <w:t>In-depth knowledge of Salesforce architecture, including Security and Compliance features, with a solid grasp of integration with broader Enterprise Architecture domains.</w:t>
      </w:r>
    </w:p>
    <w:p w14:paraId="45BC7B54" w14:textId="02E3148E" w:rsidR="00CC2983" w:rsidRPr="00CC2983" w:rsidRDefault="00CC2983" w:rsidP="00CC2983">
      <w:pPr>
        <w:pStyle w:val="ListBullet"/>
        <w:rPr>
          <w:lang w:eastAsia="en-AU"/>
        </w:rPr>
      </w:pPr>
      <w:r w:rsidRPr="00CC2983">
        <w:rPr>
          <w:lang w:eastAsia="en-AU"/>
        </w:rPr>
        <w:t>Proven experience operating at a senior or executive level in complex organizations, offering specialized and strategic Salesforce-related solutions and advice to executive leadership.</w:t>
      </w:r>
    </w:p>
    <w:p w14:paraId="6AD423D9" w14:textId="00878EED" w:rsidR="00CC2983" w:rsidRPr="00CC2983" w:rsidRDefault="00CC2983" w:rsidP="00CC2983">
      <w:pPr>
        <w:pStyle w:val="ListBullet"/>
        <w:rPr>
          <w:lang w:eastAsia="en-AU"/>
        </w:rPr>
      </w:pPr>
      <w:r w:rsidRPr="00CC2983">
        <w:rPr>
          <w:lang w:eastAsia="en-AU"/>
        </w:rPr>
        <w:t>Strong expertise in business analysis processes, identifying Salesforce implementation opportunities and mitigating potential risks.</w:t>
      </w:r>
    </w:p>
    <w:p w14:paraId="55ED2BE9" w14:textId="2DF3D8A4" w:rsidR="00CC2983" w:rsidRPr="00CC2983" w:rsidRDefault="00CC2983" w:rsidP="00CC2983">
      <w:pPr>
        <w:pStyle w:val="ListBullet"/>
        <w:rPr>
          <w:lang w:eastAsia="en-AU"/>
        </w:rPr>
      </w:pPr>
      <w:r w:rsidRPr="00CC2983">
        <w:rPr>
          <w:lang w:eastAsia="en-AU"/>
        </w:rPr>
        <w:t>Advanced understanding of Salesforce cloud-based solutions, including “as a service” architectures like Platform as a Service (PaaS) and Software as a Service (SaaS).</w:t>
      </w:r>
    </w:p>
    <w:p w14:paraId="06BA7C4A" w14:textId="23B2F70D" w:rsidR="00CC2983" w:rsidRPr="00CC2983" w:rsidRDefault="00CC2983" w:rsidP="00CC2983">
      <w:pPr>
        <w:pStyle w:val="ListBullet"/>
        <w:rPr>
          <w:lang w:eastAsia="en-AU"/>
        </w:rPr>
      </w:pPr>
      <w:r w:rsidRPr="00CC2983">
        <w:rPr>
          <w:lang w:eastAsia="en-AU"/>
        </w:rPr>
        <w:t>Comprehensive awareness of current and future trends in Salesforce technologies and their alignment with broader ICT and information architecture strategies.</w:t>
      </w:r>
    </w:p>
    <w:bookmarkEnd w:id="6"/>
    <w:p w14:paraId="6F004E12" w14:textId="77777777" w:rsidR="00523E65" w:rsidRDefault="00523E65" w:rsidP="00523E65">
      <w:pPr>
        <w:pStyle w:val="ListBullet"/>
        <w:rPr>
          <w:lang w:eastAsia="en-AU"/>
        </w:rPr>
      </w:pPr>
      <w:r>
        <w:lastRenderedPageBreak/>
        <w:t>Experience in system analysis and design including in requirements gathering and documenting functional requirements, understanding business requirements/process.</w:t>
      </w:r>
    </w:p>
    <w:p w14:paraId="79C001FF" w14:textId="77777777" w:rsidR="00523E65" w:rsidRDefault="00523E65" w:rsidP="00523E65">
      <w:pPr>
        <w:pStyle w:val="ListBullet"/>
        <w:rPr>
          <w:lang w:eastAsia="en-AU"/>
        </w:rPr>
      </w:pPr>
      <w:r>
        <w:t>Demonstrated proficiency in languages and tools relevant for the specific role:</w:t>
      </w:r>
    </w:p>
    <w:p w14:paraId="56197E69" w14:textId="77777777" w:rsidR="00523E65" w:rsidRDefault="00523E65" w:rsidP="00523E65">
      <w:pPr>
        <w:pStyle w:val="ListBullet"/>
        <w:tabs>
          <w:tab w:val="clear" w:pos="360"/>
          <w:tab w:val="num" w:pos="1080"/>
        </w:tabs>
        <w:ind w:left="1080"/>
        <w:rPr>
          <w:lang w:eastAsia="en-AU"/>
        </w:rPr>
      </w:pPr>
      <w:r>
        <w:t>XML, VB.NET, .NET, PHP, Java and Web Services</w:t>
      </w:r>
    </w:p>
    <w:p w14:paraId="2B1355D7" w14:textId="77777777" w:rsidR="00523E65" w:rsidRDefault="00523E65" w:rsidP="00523E65">
      <w:pPr>
        <w:pStyle w:val="ListBullet"/>
        <w:tabs>
          <w:tab w:val="clear" w:pos="360"/>
          <w:tab w:val="num" w:pos="1080"/>
        </w:tabs>
        <w:ind w:left="1080"/>
        <w:rPr>
          <w:lang w:eastAsia="en-AU"/>
        </w:rPr>
      </w:pPr>
      <w:r>
        <w:t>strong MS-SQL database and TSQL knowledge, skills and experience including performance tuning of SQL queries both implicit and EF generated</w:t>
      </w:r>
    </w:p>
    <w:p w14:paraId="1FD0EED3" w14:textId="77777777" w:rsidR="00523E65" w:rsidRDefault="00523E65" w:rsidP="00523E65">
      <w:pPr>
        <w:pStyle w:val="ListBullet"/>
        <w:tabs>
          <w:tab w:val="clear" w:pos="360"/>
          <w:tab w:val="num" w:pos="1080"/>
        </w:tabs>
        <w:ind w:left="1080"/>
        <w:rPr>
          <w:lang w:eastAsia="en-AU"/>
        </w:rPr>
      </w:pPr>
      <w:r>
        <w:t>Apex, Apex Classes, Apex Triggers and Communities</w:t>
      </w:r>
    </w:p>
    <w:p w14:paraId="2D66E6B3" w14:textId="77777777" w:rsidR="00523E65" w:rsidRDefault="00523E65" w:rsidP="00523E65">
      <w:pPr>
        <w:pStyle w:val="ListBullet"/>
        <w:tabs>
          <w:tab w:val="clear" w:pos="360"/>
          <w:tab w:val="num" w:pos="1080"/>
        </w:tabs>
        <w:ind w:left="1080"/>
        <w:rPr>
          <w:lang w:eastAsia="en-AU"/>
        </w:rPr>
      </w:pPr>
      <w:r>
        <w:t>Aura, LWC and Custom Lightning Components</w:t>
      </w:r>
    </w:p>
    <w:p w14:paraId="5FAD36E5" w14:textId="77777777" w:rsidR="00523E65" w:rsidRDefault="00523E65" w:rsidP="00523E65">
      <w:pPr>
        <w:pStyle w:val="ListBullet"/>
        <w:tabs>
          <w:tab w:val="clear" w:pos="360"/>
          <w:tab w:val="num" w:pos="1080"/>
        </w:tabs>
        <w:ind w:left="1080"/>
        <w:rPr>
          <w:lang w:eastAsia="en-AU"/>
        </w:rPr>
      </w:pPr>
      <w:r>
        <w:t xml:space="preserve">Bitbucket, ANT, </w:t>
      </w:r>
      <w:proofErr w:type="spellStart"/>
      <w:r>
        <w:t>GearSet</w:t>
      </w:r>
      <w:proofErr w:type="spellEnd"/>
    </w:p>
    <w:p w14:paraId="131FCF2D" w14:textId="77777777" w:rsidR="00523E65" w:rsidRDefault="00523E65" w:rsidP="00523E65">
      <w:pPr>
        <w:pStyle w:val="ListBullet"/>
        <w:tabs>
          <w:tab w:val="clear" w:pos="360"/>
          <w:tab w:val="num" w:pos="1080"/>
        </w:tabs>
        <w:ind w:left="1080"/>
        <w:rPr>
          <w:lang w:eastAsia="en-AU"/>
        </w:rPr>
      </w:pPr>
      <w:r>
        <w:t>Azure DevOps, Jira, Confluence</w:t>
      </w:r>
    </w:p>
    <w:p w14:paraId="465BBEF9" w14:textId="77777777" w:rsidR="00523E65" w:rsidRDefault="00523E65" w:rsidP="00523E65">
      <w:pPr>
        <w:pStyle w:val="ListBullet"/>
        <w:tabs>
          <w:tab w:val="clear" w:pos="360"/>
          <w:tab w:val="num" w:pos="1080"/>
        </w:tabs>
        <w:ind w:left="1080"/>
        <w:rPr>
          <w:lang w:eastAsia="en-AU"/>
        </w:rPr>
      </w:pPr>
      <w:r>
        <w:t>Data Visualisation Tooling (</w:t>
      </w:r>
      <w:proofErr w:type="spellStart"/>
      <w:r>
        <w:t>PowerBI</w:t>
      </w:r>
      <w:proofErr w:type="spellEnd"/>
      <w:r>
        <w:t>, QlikView etc)</w:t>
      </w:r>
    </w:p>
    <w:p w14:paraId="464D5A53" w14:textId="77777777" w:rsidR="009E0B71" w:rsidRPr="00C978B9" w:rsidRDefault="009E0B71" w:rsidP="000C453F">
      <w:pPr>
        <w:pStyle w:val="Heading2"/>
      </w:pPr>
      <w:bookmarkStart w:id="7" w:name="_Hlk36203683"/>
      <w:bookmarkStart w:id="8" w:name="_Hlk36565316"/>
      <w:bookmarkStart w:id="9" w:name="_Hlk36209343"/>
      <w:bookmarkStart w:id="10" w:name="_Hlk36710441"/>
      <w:bookmarkStart w:id="11" w:name="_Hlk36722467"/>
      <w:bookmarkStart w:id="12" w:name="_Hlk40182787"/>
      <w:bookmarkStart w:id="13" w:name="_Hlk17375576"/>
      <w:bookmarkStart w:id="14" w:name="_Hlk36397202"/>
      <w:r w:rsidRPr="00C978B9">
        <w:t>Capabilities for the role</w:t>
      </w:r>
    </w:p>
    <w:p w14:paraId="208EEAD6" w14:textId="77777777" w:rsidR="009E0B71" w:rsidRPr="00175AAF" w:rsidRDefault="009E0B71" w:rsidP="009E0B71">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5D3CE90" w14:textId="77777777" w:rsidR="003E0111" w:rsidRPr="003C7A36" w:rsidRDefault="009E0B71" w:rsidP="00E97E4E">
      <w:r w:rsidRPr="003E0111">
        <w:t>The capabilities are separated into focus capabilities and complementary capabilities</w:t>
      </w:r>
    </w:p>
    <w:p w14:paraId="49A83457" w14:textId="77777777" w:rsidR="009E0B71" w:rsidRPr="00C978B9" w:rsidRDefault="009E0B71" w:rsidP="000C453F">
      <w:pPr>
        <w:pStyle w:val="Heading2"/>
      </w:pPr>
      <w:r w:rsidRPr="00C978B9">
        <w:t xml:space="preserve">Focus </w:t>
      </w:r>
      <w:r>
        <w:t>c</w:t>
      </w:r>
      <w:r w:rsidRPr="00C978B9">
        <w:t>apabilities</w:t>
      </w:r>
      <w:r w:rsidR="00AC56D6">
        <w:tab/>
      </w:r>
    </w:p>
    <w:p w14:paraId="54ECD920"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03F3ED95" w14:textId="4BB8C6B7" w:rsidR="00C34914" w:rsidRDefault="009E0B71" w:rsidP="00893C31">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708F5AC1" w14:textId="77777777" w:rsidR="00240719" w:rsidRDefault="00240719" w:rsidP="00893C31">
      <w:pPr>
        <w:pStyle w:val="PlainText"/>
        <w:spacing w:before="62" w:line="276" w:lineRule="auto"/>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666621" w:rsidRPr="003C7A36" w14:paraId="171500DB" w14:textId="77777777" w:rsidTr="00666621">
        <w:trPr>
          <w:cnfStyle w:val="100000000000" w:firstRow="1" w:lastRow="0" w:firstColumn="0" w:lastColumn="0" w:oddVBand="0" w:evenVBand="0" w:oddHBand="0" w:evenHBand="0" w:firstRowFirstColumn="0" w:firstRowLastColumn="0" w:lastRowFirstColumn="0" w:lastRowLastColumn="0"/>
          <w:tblHeader/>
        </w:trPr>
        <w:tc>
          <w:tcPr>
            <w:tcW w:w="1385" w:type="dxa"/>
            <w:shd w:val="clear" w:color="auto" w:fill="BFBFBF" w:themeFill="background1" w:themeFillShade="BF"/>
            <w:vAlign w:val="center"/>
          </w:tcPr>
          <w:p w14:paraId="08DB0ED3" w14:textId="77777777" w:rsidR="00666621" w:rsidRPr="003C7A36" w:rsidRDefault="00666621" w:rsidP="0006735B">
            <w:pPr>
              <w:rPr>
                <w:sz w:val="20"/>
              </w:rPr>
            </w:pPr>
            <w:r w:rsidRPr="003C7A36">
              <w:rPr>
                <w:b/>
                <w:sz w:val="20"/>
              </w:rPr>
              <w:t>Capability group/sets</w:t>
            </w:r>
          </w:p>
        </w:tc>
        <w:tc>
          <w:tcPr>
            <w:tcW w:w="2726" w:type="dxa"/>
            <w:shd w:val="clear" w:color="auto" w:fill="BFBFBF" w:themeFill="background1" w:themeFillShade="BF"/>
          </w:tcPr>
          <w:p w14:paraId="56D45818" w14:textId="77777777" w:rsidR="00666621" w:rsidRPr="003C7A36" w:rsidRDefault="00666621" w:rsidP="0006735B">
            <w:pPr>
              <w:rPr>
                <w:sz w:val="20"/>
              </w:rPr>
            </w:pPr>
            <w:r w:rsidRPr="003C7A36">
              <w:rPr>
                <w:b/>
                <w:sz w:val="20"/>
              </w:rPr>
              <w:t>Capability name</w:t>
            </w:r>
          </w:p>
        </w:tc>
        <w:tc>
          <w:tcPr>
            <w:tcW w:w="4709" w:type="dxa"/>
            <w:shd w:val="clear" w:color="auto" w:fill="BFBFBF" w:themeFill="background1" w:themeFillShade="BF"/>
          </w:tcPr>
          <w:p w14:paraId="2B446756" w14:textId="77777777" w:rsidR="00666621" w:rsidRPr="003C7A36" w:rsidRDefault="00666621" w:rsidP="0006735B">
            <w:pPr>
              <w:rPr>
                <w:sz w:val="20"/>
              </w:rPr>
            </w:pPr>
            <w:r w:rsidRPr="003C7A36">
              <w:rPr>
                <w:b/>
                <w:sz w:val="20"/>
              </w:rPr>
              <w:t>Behavioural indicators</w:t>
            </w:r>
          </w:p>
        </w:tc>
        <w:tc>
          <w:tcPr>
            <w:tcW w:w="1668" w:type="dxa"/>
            <w:shd w:val="clear" w:color="auto" w:fill="BFBFBF" w:themeFill="background1" w:themeFillShade="BF"/>
          </w:tcPr>
          <w:p w14:paraId="7A3D272E" w14:textId="77777777" w:rsidR="00666621" w:rsidRPr="00372FE9" w:rsidRDefault="00666621" w:rsidP="0006735B">
            <w:pPr>
              <w:rPr>
                <w:b/>
                <w:bCs/>
                <w:sz w:val="20"/>
              </w:rPr>
            </w:pPr>
            <w:r w:rsidRPr="00372FE9">
              <w:rPr>
                <w:b/>
                <w:bCs/>
                <w:sz w:val="20"/>
              </w:rPr>
              <w:t>Level</w:t>
            </w:r>
          </w:p>
        </w:tc>
      </w:tr>
      <w:tr w:rsidR="00666621" w:rsidRPr="003C7A36" w14:paraId="0BB8A688" w14:textId="77777777" w:rsidTr="0006735B">
        <w:trPr>
          <w:cantSplit/>
        </w:trPr>
        <w:tc>
          <w:tcPr>
            <w:tcW w:w="1385" w:type="dxa"/>
          </w:tcPr>
          <w:p w14:paraId="1BCE8FD4" w14:textId="77777777" w:rsidR="00666621" w:rsidRPr="003C7A36" w:rsidRDefault="00666621" w:rsidP="0006735B">
            <w:pPr>
              <w:jc w:val="center"/>
              <w:rPr>
                <w:noProof/>
                <w:sz w:val="20"/>
                <w:lang w:eastAsia="en-AU"/>
              </w:rPr>
            </w:pPr>
            <w:r w:rsidRPr="00372FE9">
              <w:rPr>
                <w:noProof/>
                <w:sz w:val="20"/>
                <w:lang w:eastAsia="en-AU"/>
              </w:rPr>
              <w:drawing>
                <wp:inline distT="0" distB="0" distL="0" distR="0" wp14:anchorId="0005A210" wp14:editId="7326FF80">
                  <wp:extent cx="749300" cy="749300"/>
                  <wp:effectExtent l="0" t="0" r="0" b="0"/>
                  <wp:docPr id="341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E706951" w14:textId="77777777" w:rsidR="00666621" w:rsidRDefault="00666621" w:rsidP="0006735B">
            <w:pPr>
              <w:rPr>
                <w:rFonts w:cs="Arial"/>
                <w:color w:val="000000"/>
                <w:sz w:val="20"/>
              </w:rPr>
            </w:pPr>
            <w:r w:rsidRPr="003C7A36">
              <w:rPr>
                <w:rFonts w:cs="Arial"/>
                <w:b/>
                <w:bCs/>
                <w:color w:val="000000"/>
                <w:sz w:val="20"/>
              </w:rPr>
              <w:t>Act with Integrity</w:t>
            </w:r>
          </w:p>
          <w:p w14:paraId="19853633" w14:textId="77777777" w:rsidR="00666621" w:rsidRPr="00667FCB" w:rsidRDefault="00666621" w:rsidP="0006735B">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267CF9FA" w14:textId="77777777" w:rsidR="00666621" w:rsidRPr="003C7A36" w:rsidRDefault="00666621" w:rsidP="0006735B">
            <w:pPr>
              <w:pStyle w:val="TableBullet"/>
            </w:pPr>
            <w:r w:rsidRPr="003C7A36">
              <w:t>Model the highest standards of ethical and professional behaviour and reinforce their use</w:t>
            </w:r>
          </w:p>
          <w:p w14:paraId="238EAF2F" w14:textId="77777777" w:rsidR="00666621" w:rsidRPr="003C7A36" w:rsidRDefault="00666621" w:rsidP="0006735B">
            <w:pPr>
              <w:pStyle w:val="TableBullet"/>
            </w:pPr>
            <w:r w:rsidRPr="003C7A36">
              <w:t>Represent the organisation in an honest, ethical and professional way and set an example for others to follow</w:t>
            </w:r>
          </w:p>
          <w:p w14:paraId="33E35CDD" w14:textId="77777777" w:rsidR="00666621" w:rsidRPr="003C7A36" w:rsidRDefault="00666621" w:rsidP="0006735B">
            <w:pPr>
              <w:pStyle w:val="TableBullet"/>
            </w:pPr>
            <w:r w:rsidRPr="003C7A36">
              <w:t>Promote a culture of integrity and professionalism within the organisation and in dealings external to government</w:t>
            </w:r>
          </w:p>
          <w:p w14:paraId="346E6C5E" w14:textId="77777777" w:rsidR="00666621" w:rsidRPr="003C7A36" w:rsidRDefault="00666621" w:rsidP="0006735B">
            <w:pPr>
              <w:pStyle w:val="TableBullet"/>
            </w:pPr>
            <w:r w:rsidRPr="003C7A36">
              <w:t>Monitor ethical practices, standards and systems and reinforce their use</w:t>
            </w:r>
          </w:p>
          <w:p w14:paraId="0B402313" w14:textId="77777777" w:rsidR="00666621" w:rsidRPr="003C7A36" w:rsidRDefault="00666621" w:rsidP="0006735B">
            <w:pPr>
              <w:pStyle w:val="TableBullet"/>
            </w:pPr>
            <w:r w:rsidRPr="003C7A36">
              <w:t>Act promptly on reported breaches of legislation, policies and guidelines</w:t>
            </w:r>
          </w:p>
        </w:tc>
        <w:tc>
          <w:tcPr>
            <w:tcW w:w="1668" w:type="dxa"/>
          </w:tcPr>
          <w:p w14:paraId="368E49F9" w14:textId="77777777" w:rsidR="00666621" w:rsidRPr="006F0836" w:rsidRDefault="00666621" w:rsidP="0006735B">
            <w:pPr>
              <w:pStyle w:val="TableText"/>
            </w:pPr>
            <w:r w:rsidRPr="004C659E">
              <w:t>Advanced</w:t>
            </w:r>
          </w:p>
        </w:tc>
      </w:tr>
      <w:tr w:rsidR="00666621" w:rsidRPr="003C7A36" w14:paraId="14CEA338" w14:textId="77777777" w:rsidTr="0006735B">
        <w:trPr>
          <w:cantSplit/>
        </w:trPr>
        <w:tc>
          <w:tcPr>
            <w:tcW w:w="1385" w:type="dxa"/>
          </w:tcPr>
          <w:p w14:paraId="45D9776A" w14:textId="77777777" w:rsidR="00666621" w:rsidRPr="003C7A36" w:rsidRDefault="00666621" w:rsidP="0006735B">
            <w:pPr>
              <w:jc w:val="center"/>
              <w:rPr>
                <w:noProof/>
                <w:sz w:val="20"/>
                <w:lang w:eastAsia="en-AU"/>
              </w:rPr>
            </w:pPr>
            <w:r w:rsidRPr="00372FE9">
              <w:rPr>
                <w:noProof/>
                <w:sz w:val="20"/>
                <w:lang w:eastAsia="en-AU"/>
              </w:rPr>
              <w:lastRenderedPageBreak/>
              <w:drawing>
                <wp:inline distT="0" distB="0" distL="0" distR="0" wp14:anchorId="3A24BA7A" wp14:editId="2E12AE04">
                  <wp:extent cx="749300" cy="749300"/>
                  <wp:effectExtent l="0" t="0" r="0" b="0"/>
                  <wp:docPr id="700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2C6E657" w14:textId="77777777" w:rsidR="00666621" w:rsidRDefault="00666621" w:rsidP="0006735B">
            <w:pPr>
              <w:rPr>
                <w:rFonts w:cs="Arial"/>
                <w:color w:val="000000"/>
                <w:sz w:val="20"/>
              </w:rPr>
            </w:pPr>
            <w:r w:rsidRPr="003C7A36">
              <w:rPr>
                <w:rFonts w:cs="Arial"/>
                <w:b/>
                <w:bCs/>
                <w:color w:val="000000"/>
                <w:sz w:val="20"/>
              </w:rPr>
              <w:t>Influence and Negotiate</w:t>
            </w:r>
          </w:p>
          <w:p w14:paraId="637F605C" w14:textId="77777777" w:rsidR="00666621" w:rsidRPr="00667FCB" w:rsidRDefault="00666621" w:rsidP="0006735B">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28A09193" w14:textId="77777777" w:rsidR="00666621" w:rsidRPr="003C7A36" w:rsidRDefault="00666621" w:rsidP="0006735B">
            <w:pPr>
              <w:pStyle w:val="TableBullet"/>
            </w:pPr>
            <w:r w:rsidRPr="003C7A36">
              <w:t>Influence others with a fair and considered approach and present persuasive counter-arguments</w:t>
            </w:r>
          </w:p>
          <w:p w14:paraId="32FD7A50" w14:textId="77777777" w:rsidR="00666621" w:rsidRPr="003C7A36" w:rsidRDefault="00666621" w:rsidP="0006735B">
            <w:pPr>
              <w:pStyle w:val="TableBullet"/>
            </w:pPr>
            <w:r w:rsidRPr="003C7A36">
              <w:t>Work towards mutually beneficial ‘win-win’ outcomes</w:t>
            </w:r>
          </w:p>
          <w:p w14:paraId="414A1499" w14:textId="77777777" w:rsidR="00666621" w:rsidRPr="003C7A36" w:rsidRDefault="00666621" w:rsidP="0006735B">
            <w:pPr>
              <w:pStyle w:val="TableBullet"/>
            </w:pPr>
            <w:r w:rsidRPr="003C7A36">
              <w:t>Show sensitivity and understanding in resolving acute and complex conflicts and differences</w:t>
            </w:r>
          </w:p>
          <w:p w14:paraId="5204FAA3" w14:textId="77777777" w:rsidR="00666621" w:rsidRPr="003C7A36" w:rsidRDefault="00666621" w:rsidP="0006735B">
            <w:pPr>
              <w:pStyle w:val="TableBullet"/>
            </w:pPr>
            <w:r w:rsidRPr="003C7A36">
              <w:t>Identify key stakeholders and gain their support in advance</w:t>
            </w:r>
          </w:p>
          <w:p w14:paraId="24101CE1" w14:textId="77777777" w:rsidR="00666621" w:rsidRPr="003C7A36" w:rsidRDefault="00666621" w:rsidP="0006735B">
            <w:pPr>
              <w:pStyle w:val="TableBullet"/>
            </w:pPr>
            <w:r w:rsidRPr="003C7A36">
              <w:t>Establish a clear negotiation position based on research, a firm grasp of key issues, likely arguments, points of difference and areas for compromise</w:t>
            </w:r>
          </w:p>
          <w:p w14:paraId="1930992A" w14:textId="77777777" w:rsidR="00666621" w:rsidRPr="003C7A36" w:rsidRDefault="00666621" w:rsidP="0006735B">
            <w:pPr>
              <w:pStyle w:val="TableBullet"/>
            </w:pPr>
            <w:r w:rsidRPr="003C7A36">
              <w:t>Anticipate and minimise conflict within the organisation and with external stakeholders</w:t>
            </w:r>
          </w:p>
        </w:tc>
        <w:tc>
          <w:tcPr>
            <w:tcW w:w="1668" w:type="dxa"/>
          </w:tcPr>
          <w:p w14:paraId="7870A749" w14:textId="77777777" w:rsidR="00666621" w:rsidRPr="006F0836" w:rsidRDefault="00666621" w:rsidP="0006735B">
            <w:pPr>
              <w:pStyle w:val="TableText"/>
            </w:pPr>
            <w:r w:rsidRPr="004C659E">
              <w:t>Advanced</w:t>
            </w:r>
          </w:p>
        </w:tc>
      </w:tr>
      <w:tr w:rsidR="00666621" w:rsidRPr="003C7A36" w14:paraId="64CE4B8F" w14:textId="77777777" w:rsidTr="0006735B">
        <w:trPr>
          <w:cantSplit/>
        </w:trPr>
        <w:tc>
          <w:tcPr>
            <w:tcW w:w="1385" w:type="dxa"/>
          </w:tcPr>
          <w:p w14:paraId="56584D05" w14:textId="77777777" w:rsidR="00666621" w:rsidRPr="003C7A36" w:rsidRDefault="00666621" w:rsidP="0006735B">
            <w:pPr>
              <w:jc w:val="center"/>
              <w:rPr>
                <w:noProof/>
                <w:sz w:val="20"/>
                <w:lang w:eastAsia="en-AU"/>
              </w:rPr>
            </w:pPr>
            <w:r w:rsidRPr="00372FE9">
              <w:rPr>
                <w:noProof/>
                <w:sz w:val="20"/>
                <w:lang w:eastAsia="en-AU"/>
              </w:rPr>
              <w:drawing>
                <wp:inline distT="0" distB="0" distL="0" distR="0" wp14:anchorId="1DAAA52C" wp14:editId="368F5B08">
                  <wp:extent cx="749300" cy="749300"/>
                  <wp:effectExtent l="0" t="0" r="0" b="0"/>
                  <wp:docPr id="596"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48FA311" w14:textId="77777777" w:rsidR="00666621" w:rsidRDefault="00666621" w:rsidP="0006735B">
            <w:pPr>
              <w:rPr>
                <w:rFonts w:cs="Arial"/>
                <w:color w:val="000000"/>
                <w:sz w:val="20"/>
              </w:rPr>
            </w:pPr>
            <w:r w:rsidRPr="003C7A36">
              <w:rPr>
                <w:rFonts w:cs="Arial"/>
                <w:b/>
                <w:bCs/>
                <w:color w:val="000000"/>
                <w:sz w:val="20"/>
              </w:rPr>
              <w:t>Plan and Prioritise</w:t>
            </w:r>
          </w:p>
          <w:p w14:paraId="656F8C61" w14:textId="77777777" w:rsidR="00666621" w:rsidRPr="00667FCB" w:rsidRDefault="00666621" w:rsidP="0006735B">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036950D7" w14:textId="77777777" w:rsidR="00666621" w:rsidRPr="003C7A36" w:rsidRDefault="00666621" w:rsidP="0006735B">
            <w:pPr>
              <w:pStyle w:val="TableBullet"/>
            </w:pPr>
            <w:r w:rsidRPr="003C7A36">
              <w:t>Understand the links between the business unit, organisation and the whole-of-government agenda</w:t>
            </w:r>
          </w:p>
          <w:p w14:paraId="7A4EF549" w14:textId="77777777" w:rsidR="00666621" w:rsidRPr="003C7A36" w:rsidRDefault="00666621" w:rsidP="0006735B">
            <w:pPr>
              <w:pStyle w:val="TableBullet"/>
            </w:pPr>
            <w:r w:rsidRPr="003C7A36">
              <w:t>Ensure business plan goals are clear and appropriate and include contingency provisions</w:t>
            </w:r>
          </w:p>
          <w:p w14:paraId="4224DFAA" w14:textId="77777777" w:rsidR="00666621" w:rsidRPr="003C7A36" w:rsidRDefault="00666621" w:rsidP="0006735B">
            <w:pPr>
              <w:pStyle w:val="TableBullet"/>
            </w:pPr>
            <w:r w:rsidRPr="003C7A36">
              <w:t>Monitor the progress of initiatives and make necessary adjustments</w:t>
            </w:r>
          </w:p>
          <w:p w14:paraId="1BA55733" w14:textId="77777777" w:rsidR="00666621" w:rsidRPr="003C7A36" w:rsidRDefault="00666621" w:rsidP="0006735B">
            <w:pPr>
              <w:pStyle w:val="TableBullet"/>
            </w:pPr>
            <w:r w:rsidRPr="003C7A36">
              <w:t>Anticipate and assess the impact of changes, including government policy and economic conditions, on business plans and initiatives and respond appropriately</w:t>
            </w:r>
          </w:p>
          <w:p w14:paraId="310EFC38" w14:textId="77777777" w:rsidR="00666621" w:rsidRPr="003C7A36" w:rsidRDefault="00666621" w:rsidP="0006735B">
            <w:pPr>
              <w:pStyle w:val="TableBullet"/>
            </w:pPr>
            <w:r w:rsidRPr="003C7A36">
              <w:t>Consider the implications of a wide range of complex issues and shift business priorities when necessary</w:t>
            </w:r>
          </w:p>
          <w:p w14:paraId="26EECF21" w14:textId="77777777" w:rsidR="00666621" w:rsidRPr="003C7A36" w:rsidRDefault="00666621" w:rsidP="0006735B">
            <w:pPr>
              <w:pStyle w:val="TableBullet"/>
            </w:pPr>
            <w:r w:rsidRPr="003C7A36">
              <w:t>Undertake planning to help the organisation transition through change initiatives, and evaluate progress and outcomes to inform future planning</w:t>
            </w:r>
          </w:p>
        </w:tc>
        <w:tc>
          <w:tcPr>
            <w:tcW w:w="1668" w:type="dxa"/>
          </w:tcPr>
          <w:p w14:paraId="328CF636" w14:textId="77777777" w:rsidR="00666621" w:rsidRPr="006F0836" w:rsidRDefault="00666621" w:rsidP="0006735B">
            <w:pPr>
              <w:pStyle w:val="TableText"/>
            </w:pPr>
            <w:r w:rsidRPr="004C659E">
              <w:t>Advanced</w:t>
            </w:r>
          </w:p>
        </w:tc>
      </w:tr>
      <w:tr w:rsidR="00666621" w:rsidRPr="003C7A36" w14:paraId="64B7F382" w14:textId="77777777" w:rsidTr="0006735B">
        <w:trPr>
          <w:cantSplit/>
        </w:trPr>
        <w:tc>
          <w:tcPr>
            <w:tcW w:w="1385" w:type="dxa"/>
          </w:tcPr>
          <w:p w14:paraId="593593E6" w14:textId="77777777" w:rsidR="00666621" w:rsidRPr="003C7A36" w:rsidRDefault="00666621" w:rsidP="0006735B">
            <w:pPr>
              <w:jc w:val="center"/>
              <w:rPr>
                <w:noProof/>
                <w:sz w:val="20"/>
                <w:lang w:eastAsia="en-AU"/>
              </w:rPr>
            </w:pPr>
            <w:r w:rsidRPr="00372FE9">
              <w:rPr>
                <w:noProof/>
                <w:sz w:val="20"/>
                <w:lang w:eastAsia="en-AU"/>
              </w:rPr>
              <w:drawing>
                <wp:inline distT="0" distB="0" distL="0" distR="0" wp14:anchorId="34A417C6" wp14:editId="1630E6EA">
                  <wp:extent cx="749300" cy="749300"/>
                  <wp:effectExtent l="0" t="0" r="0" b="0"/>
                  <wp:docPr id="8951"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777CE6B" w14:textId="77777777" w:rsidR="00666621" w:rsidRDefault="00666621" w:rsidP="0006735B">
            <w:pPr>
              <w:rPr>
                <w:rFonts w:cs="Arial"/>
                <w:color w:val="000000"/>
                <w:sz w:val="20"/>
              </w:rPr>
            </w:pPr>
            <w:r w:rsidRPr="003C7A36">
              <w:rPr>
                <w:rFonts w:cs="Arial"/>
                <w:b/>
                <w:bCs/>
                <w:color w:val="000000"/>
                <w:sz w:val="20"/>
              </w:rPr>
              <w:t>Technology</w:t>
            </w:r>
          </w:p>
          <w:p w14:paraId="4A36E657" w14:textId="77777777" w:rsidR="00666621" w:rsidRPr="00667FCB" w:rsidRDefault="00666621" w:rsidP="0006735B">
            <w:pPr>
              <w:rPr>
                <w:rFonts w:cs="Arial"/>
                <w:color w:val="000000"/>
                <w:sz w:val="20"/>
              </w:rPr>
            </w:pPr>
            <w:r w:rsidRPr="003C7A36">
              <w:rPr>
                <w:rFonts w:cs="Arial"/>
                <w:color w:val="000000"/>
                <w:sz w:val="20"/>
              </w:rPr>
              <w:t>Understand and use available technologies to maximise efficiencies and effectiveness</w:t>
            </w:r>
          </w:p>
        </w:tc>
        <w:tc>
          <w:tcPr>
            <w:tcW w:w="4709" w:type="dxa"/>
          </w:tcPr>
          <w:p w14:paraId="372F8108" w14:textId="77777777" w:rsidR="00666621" w:rsidRPr="003C7A36" w:rsidRDefault="00666621" w:rsidP="0006735B">
            <w:pPr>
              <w:pStyle w:val="TableBullet"/>
            </w:pPr>
            <w:r w:rsidRPr="003C7A36">
              <w:t>Champion the use of innovative technologies in the workplace</w:t>
            </w:r>
          </w:p>
          <w:p w14:paraId="3475D930" w14:textId="77777777" w:rsidR="00666621" w:rsidRPr="003C7A36" w:rsidRDefault="00666621" w:rsidP="0006735B">
            <w:pPr>
              <w:pStyle w:val="TableBullet"/>
            </w:pPr>
            <w:r w:rsidRPr="003C7A36">
              <w:t>Actively manage risk to ensure compliance with cyber security and acceptable use of technology policies</w:t>
            </w:r>
          </w:p>
          <w:p w14:paraId="2819D2A4" w14:textId="77777777" w:rsidR="00666621" w:rsidRPr="003C7A36" w:rsidRDefault="00666621" w:rsidP="0006735B">
            <w:pPr>
              <w:pStyle w:val="TableBullet"/>
            </w:pPr>
            <w:r w:rsidRPr="003C7A36">
              <w:t>Keep up to date with emerging technologies and technology trends to understand how their application can support business outcomes</w:t>
            </w:r>
          </w:p>
          <w:p w14:paraId="01B2AD02" w14:textId="77777777" w:rsidR="00666621" w:rsidRPr="003C7A36" w:rsidRDefault="00666621" w:rsidP="0006735B">
            <w:pPr>
              <w:pStyle w:val="TableBullet"/>
            </w:pPr>
            <w:r w:rsidRPr="003C7A36">
              <w:t>Seek advice from appropriate subject-matter experts on using technologies to achieve business strategies and outcomes</w:t>
            </w:r>
          </w:p>
          <w:p w14:paraId="3EA3C785" w14:textId="77777777" w:rsidR="00666621" w:rsidRPr="003C7A36" w:rsidRDefault="00666621" w:rsidP="0006735B">
            <w:pPr>
              <w:pStyle w:val="TableBullet"/>
            </w:pPr>
            <w:r w:rsidRPr="003C7A36">
              <w:t>Actively manage risk of breaches to appropriate records, information and knowledge management systems, protocols and policies</w:t>
            </w:r>
          </w:p>
        </w:tc>
        <w:tc>
          <w:tcPr>
            <w:tcW w:w="1668" w:type="dxa"/>
          </w:tcPr>
          <w:p w14:paraId="2C2A1016" w14:textId="77777777" w:rsidR="00666621" w:rsidRPr="006F0836" w:rsidRDefault="00666621" w:rsidP="0006735B">
            <w:pPr>
              <w:pStyle w:val="TableText"/>
            </w:pPr>
            <w:r w:rsidRPr="004C659E">
              <w:t>Advanced</w:t>
            </w:r>
          </w:p>
        </w:tc>
      </w:tr>
    </w:tbl>
    <w:p w14:paraId="442202B4" w14:textId="77777777" w:rsidR="00666621" w:rsidRPr="00893C31" w:rsidRDefault="00666621" w:rsidP="00893C31">
      <w:pPr>
        <w:pStyle w:val="PlainText"/>
        <w:spacing w:before="62" w:line="276" w:lineRule="auto"/>
        <w:rPr>
          <w:rFonts w:eastAsiaTheme="minorEastAsia"/>
          <w:szCs w:val="22"/>
          <w:lang w:val="en-US"/>
        </w:rPr>
      </w:pPr>
    </w:p>
    <w:bookmarkEnd w:id="7"/>
    <w:bookmarkEnd w:id="8"/>
    <w:bookmarkEnd w:id="9"/>
    <w:bookmarkEnd w:id="10"/>
    <w:p w14:paraId="31AA2B0D" w14:textId="68683653" w:rsidR="00372FE9" w:rsidRDefault="00372FE9" w:rsidP="00372FE9">
      <w:pPr>
        <w:pStyle w:val="Heading2"/>
      </w:pPr>
      <w:r w:rsidRPr="00AF4777">
        <w:lastRenderedPageBreak/>
        <w:t>Occupational Specific</w:t>
      </w:r>
      <w:r>
        <w:t xml:space="preserve"> </w:t>
      </w:r>
      <w:r w:rsidR="00666621">
        <w:t>Focus</w:t>
      </w:r>
      <w:r w:rsidRPr="00AF4777">
        <w:t xml:space="preserve"> Capabilities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OccupationalSpecificComplimentaryCapabilitiesTable"/>
      </w:tblPr>
      <w:tblGrid>
        <w:gridCol w:w="1464"/>
        <w:gridCol w:w="2852"/>
        <w:gridCol w:w="4901"/>
        <w:gridCol w:w="1271"/>
      </w:tblGrid>
      <w:tr w:rsidR="00DA6BE6" w:rsidRPr="00372FE9" w14:paraId="63796417" w14:textId="77777777" w:rsidTr="00F7265B">
        <w:trPr>
          <w:cnfStyle w:val="100000000000" w:firstRow="1" w:lastRow="0" w:firstColumn="0" w:lastColumn="0" w:oddVBand="0" w:evenVBand="0" w:oddHBand="0" w:evenHBand="0" w:firstRowFirstColumn="0" w:firstRowLastColumn="0" w:lastRowFirstColumn="0" w:lastRowLastColumn="0"/>
          <w:cantSplit/>
          <w:tblHeader/>
        </w:trPr>
        <w:tc>
          <w:tcPr>
            <w:tcW w:w="1464" w:type="dxa"/>
            <w:shd w:val="clear" w:color="auto" w:fill="BFBFBF" w:themeFill="background1" w:themeFillShade="BF"/>
            <w:vAlign w:val="center"/>
          </w:tcPr>
          <w:p w14:paraId="6842608C" w14:textId="77777777" w:rsidR="00DA6BE6" w:rsidRPr="00372FE9" w:rsidRDefault="00DA6BE6" w:rsidP="003E0D69">
            <w:pPr>
              <w:rPr>
                <w:sz w:val="20"/>
              </w:rPr>
            </w:pPr>
            <w:r w:rsidRPr="00372FE9">
              <w:rPr>
                <w:b/>
                <w:sz w:val="20"/>
              </w:rPr>
              <w:t>Capability group/sets</w:t>
            </w:r>
          </w:p>
        </w:tc>
        <w:tc>
          <w:tcPr>
            <w:tcW w:w="2852" w:type="dxa"/>
            <w:shd w:val="clear" w:color="auto" w:fill="BFBFBF" w:themeFill="background1" w:themeFillShade="BF"/>
          </w:tcPr>
          <w:p w14:paraId="557EB7FF" w14:textId="77777777" w:rsidR="00DA6BE6" w:rsidRPr="00372FE9" w:rsidRDefault="00DA6BE6" w:rsidP="003E0D69">
            <w:pPr>
              <w:rPr>
                <w:sz w:val="20"/>
              </w:rPr>
            </w:pPr>
            <w:r w:rsidRPr="00372FE9">
              <w:rPr>
                <w:b/>
                <w:sz w:val="20"/>
              </w:rPr>
              <w:t>Capability name</w:t>
            </w:r>
          </w:p>
        </w:tc>
        <w:tc>
          <w:tcPr>
            <w:tcW w:w="4901" w:type="dxa"/>
            <w:shd w:val="clear" w:color="auto" w:fill="BFBFBF" w:themeFill="background1" w:themeFillShade="BF"/>
          </w:tcPr>
          <w:p w14:paraId="79658301" w14:textId="77777777" w:rsidR="00DA6BE6" w:rsidRPr="00372FE9" w:rsidRDefault="00DA6BE6" w:rsidP="003E0D69">
            <w:pPr>
              <w:rPr>
                <w:sz w:val="20"/>
              </w:rPr>
            </w:pPr>
            <w:r w:rsidRPr="00372FE9">
              <w:rPr>
                <w:b/>
                <w:sz w:val="20"/>
              </w:rPr>
              <w:t>Description</w:t>
            </w:r>
          </w:p>
        </w:tc>
        <w:tc>
          <w:tcPr>
            <w:tcW w:w="1271" w:type="dxa"/>
            <w:shd w:val="clear" w:color="auto" w:fill="BFBFBF" w:themeFill="background1" w:themeFillShade="BF"/>
          </w:tcPr>
          <w:p w14:paraId="465FC79B" w14:textId="77777777" w:rsidR="00DA6BE6" w:rsidRPr="00372FE9" w:rsidRDefault="00DA6BE6" w:rsidP="003E0D69">
            <w:pPr>
              <w:rPr>
                <w:b/>
                <w:bCs/>
                <w:sz w:val="20"/>
              </w:rPr>
            </w:pPr>
            <w:r w:rsidRPr="00372FE9">
              <w:rPr>
                <w:b/>
                <w:bCs/>
                <w:sz w:val="20"/>
              </w:rPr>
              <w:t>Level</w:t>
            </w:r>
          </w:p>
        </w:tc>
      </w:tr>
      <w:bookmarkEnd w:id="11"/>
      <w:bookmarkEnd w:id="12"/>
      <w:bookmarkEnd w:id="13"/>
      <w:bookmarkEnd w:id="14"/>
      <w:tr w:rsidR="00DA6BE6" w:rsidRPr="00372FE9" w14:paraId="12CA3303" w14:textId="77777777" w:rsidTr="00103875">
        <w:trPr>
          <w:cantSplit/>
        </w:trPr>
        <w:tc>
          <w:tcPr>
            <w:tcW w:w="1464" w:type="dxa"/>
          </w:tcPr>
          <w:p w14:paraId="4301BDF1" w14:textId="77777777" w:rsidR="00DA6BE6" w:rsidRPr="00372FE9" w:rsidRDefault="00DA6BE6" w:rsidP="003E0D69">
            <w:pPr>
              <w:rPr>
                <w:sz w:val="20"/>
              </w:rPr>
            </w:pPr>
            <w:r w:rsidRPr="00C978B9">
              <w:rPr>
                <w:noProof/>
                <w:lang w:eastAsia="en-AU"/>
              </w:rPr>
              <w:drawing>
                <wp:inline distT="0" distB="0" distL="0" distR="0" wp14:anchorId="27507C2B" wp14:editId="55B8355E">
                  <wp:extent cx="838200" cy="838200"/>
                  <wp:effectExtent l="0" t="0" r="0" b="0"/>
                  <wp:docPr id="2153"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nance-professionals-capability-set.jpg" descr="Finance log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52" w:type="dxa"/>
          </w:tcPr>
          <w:p w14:paraId="34E09C7F" w14:textId="0D68A4DD" w:rsidR="0063511F" w:rsidRPr="00D41FC4" w:rsidRDefault="00893C31">
            <w:pPr>
              <w:rPr>
                <w:sz w:val="20"/>
              </w:rPr>
            </w:pPr>
            <w:r w:rsidRPr="00D41FC4">
              <w:rPr>
                <w:sz w:val="20"/>
              </w:rPr>
              <w:t>Strategy and architecture / Strategy and planning / Enterprise and business architecture (STPL)</w:t>
            </w:r>
          </w:p>
        </w:tc>
        <w:tc>
          <w:tcPr>
            <w:tcW w:w="4901" w:type="dxa"/>
          </w:tcPr>
          <w:p w14:paraId="5D213682" w14:textId="77777777" w:rsidR="00893C31" w:rsidRPr="00893C31" w:rsidRDefault="00893C31" w:rsidP="00893C31">
            <w:pPr>
              <w:numPr>
                <w:ilvl w:val="0"/>
                <w:numId w:val="1"/>
              </w:numPr>
              <w:tabs>
                <w:tab w:val="clear" w:pos="360"/>
              </w:tabs>
              <w:rPr>
                <w:sz w:val="20"/>
              </w:rPr>
            </w:pPr>
            <w:r w:rsidRPr="00893C31">
              <w:rPr>
                <w:sz w:val="20"/>
              </w:rPr>
              <w:t>Develops enterprise-wide architecture and processes to embed the strategic application of change in the management of the organisation.</w:t>
            </w:r>
          </w:p>
          <w:p w14:paraId="5E34EF8B" w14:textId="77777777" w:rsidR="00893C31" w:rsidRPr="00893C31" w:rsidRDefault="00893C31" w:rsidP="00893C31">
            <w:pPr>
              <w:numPr>
                <w:ilvl w:val="0"/>
                <w:numId w:val="1"/>
              </w:numPr>
              <w:tabs>
                <w:tab w:val="clear" w:pos="360"/>
              </w:tabs>
              <w:rPr>
                <w:sz w:val="20"/>
              </w:rPr>
            </w:pPr>
            <w:r w:rsidRPr="00893C31">
              <w:rPr>
                <w:sz w:val="20"/>
              </w:rPr>
              <w:t>Leads the creation and review of a systems capability strategy that meets the strategic requirements of the business. Ensures the buy-in of all key stakeholders.</w:t>
            </w:r>
          </w:p>
          <w:p w14:paraId="2FD68AED" w14:textId="77777777" w:rsidR="00893C31" w:rsidRPr="00893C31" w:rsidRDefault="00893C31" w:rsidP="00893C31">
            <w:pPr>
              <w:numPr>
                <w:ilvl w:val="0"/>
                <w:numId w:val="1"/>
              </w:numPr>
              <w:tabs>
                <w:tab w:val="clear" w:pos="360"/>
              </w:tabs>
              <w:rPr>
                <w:sz w:val="20"/>
              </w:rPr>
            </w:pPr>
            <w:r w:rsidRPr="00893C31">
              <w:rPr>
                <w:sz w:val="20"/>
              </w:rPr>
              <w:t>Captures and prioritises market and environmental trends, business strategies and objectives, and identifies the business benefits of alternative strategies. Develops and presents business cases for approval, funding and prioritisation of high-level initiatives.</w:t>
            </w:r>
          </w:p>
          <w:p w14:paraId="27E074BA" w14:textId="46505F68" w:rsidR="0063511F" w:rsidRPr="00D41FC4" w:rsidRDefault="00893C31" w:rsidP="00D41FC4">
            <w:pPr>
              <w:numPr>
                <w:ilvl w:val="0"/>
                <w:numId w:val="1"/>
              </w:numPr>
              <w:tabs>
                <w:tab w:val="clear" w:pos="360"/>
              </w:tabs>
              <w:rPr>
                <w:sz w:val="20"/>
              </w:rPr>
            </w:pPr>
            <w:r w:rsidRPr="00893C31">
              <w:rPr>
                <w:sz w:val="20"/>
              </w:rPr>
              <w:t>Sets strategies, policies, standards and practices to ensure compliance between business strategies, technology strategies, and enterprise transformation activities.</w:t>
            </w:r>
          </w:p>
        </w:tc>
        <w:tc>
          <w:tcPr>
            <w:tcW w:w="1271" w:type="dxa"/>
          </w:tcPr>
          <w:p w14:paraId="68EACD13" w14:textId="100290A9" w:rsidR="0063511F" w:rsidRPr="00D41FC4" w:rsidRDefault="00893C31">
            <w:pPr>
              <w:rPr>
                <w:sz w:val="20"/>
              </w:rPr>
            </w:pPr>
            <w:r w:rsidRPr="00D41FC4">
              <w:rPr>
                <w:sz w:val="20"/>
              </w:rPr>
              <w:t>Level 6</w:t>
            </w:r>
          </w:p>
        </w:tc>
      </w:tr>
      <w:tr w:rsidR="00893C31" w:rsidRPr="00372FE9" w14:paraId="1E26A4D7" w14:textId="77777777" w:rsidTr="00103875">
        <w:trPr>
          <w:cantSplit/>
        </w:trPr>
        <w:tc>
          <w:tcPr>
            <w:tcW w:w="1464" w:type="dxa"/>
          </w:tcPr>
          <w:p w14:paraId="12FCE865" w14:textId="14EE1D58" w:rsidR="00893C31" w:rsidRPr="00C978B9" w:rsidRDefault="00893C31" w:rsidP="003E0D69">
            <w:pPr>
              <w:rPr>
                <w:noProof/>
                <w:lang w:eastAsia="en-AU"/>
              </w:rPr>
            </w:pPr>
            <w:r w:rsidRPr="00C978B9">
              <w:rPr>
                <w:noProof/>
                <w:lang w:eastAsia="en-AU"/>
              </w:rPr>
              <w:drawing>
                <wp:inline distT="0" distB="0" distL="0" distR="0" wp14:anchorId="0DE885EC" wp14:editId="2C66771E">
                  <wp:extent cx="838200" cy="838200"/>
                  <wp:effectExtent l="0" t="0" r="0" b="0"/>
                  <wp:docPr id="1"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nance-professionals-capability-set.jpg" descr="Finance log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52" w:type="dxa"/>
          </w:tcPr>
          <w:p w14:paraId="0B6C33C0" w14:textId="51A9CE56" w:rsidR="00893C31" w:rsidRPr="00D41FC4" w:rsidRDefault="00D41FC4">
            <w:pPr>
              <w:rPr>
                <w:sz w:val="20"/>
              </w:rPr>
            </w:pPr>
            <w:r w:rsidRPr="00D41FC4">
              <w:rPr>
                <w:sz w:val="20"/>
              </w:rPr>
              <w:t xml:space="preserve">Change and transformation / Change analysis / </w:t>
            </w:r>
            <w:r w:rsidR="00893C31" w:rsidRPr="00D41FC4">
              <w:rPr>
                <w:sz w:val="20"/>
              </w:rPr>
              <w:t>Feasibility assessment (FEAS)</w:t>
            </w:r>
          </w:p>
        </w:tc>
        <w:tc>
          <w:tcPr>
            <w:tcW w:w="4901" w:type="dxa"/>
          </w:tcPr>
          <w:p w14:paraId="10CD5EA4" w14:textId="77777777" w:rsidR="00893C31" w:rsidRPr="00893C31" w:rsidRDefault="00893C31" w:rsidP="00893C31">
            <w:pPr>
              <w:numPr>
                <w:ilvl w:val="0"/>
                <w:numId w:val="1"/>
              </w:numPr>
              <w:tabs>
                <w:tab w:val="clear" w:pos="360"/>
              </w:tabs>
              <w:rPr>
                <w:sz w:val="20"/>
              </w:rPr>
            </w:pPr>
            <w:r w:rsidRPr="00893C31">
              <w:rPr>
                <w:sz w:val="20"/>
              </w:rPr>
              <w:t>Establishes an organisational framework and standards for feasibility assessment and business case development.</w:t>
            </w:r>
          </w:p>
          <w:p w14:paraId="31B47A8B" w14:textId="77777777" w:rsidR="00893C31" w:rsidRPr="00893C31" w:rsidRDefault="00893C31" w:rsidP="00893C31">
            <w:pPr>
              <w:numPr>
                <w:ilvl w:val="0"/>
                <w:numId w:val="1"/>
              </w:numPr>
              <w:tabs>
                <w:tab w:val="clear" w:pos="360"/>
              </w:tabs>
              <w:rPr>
                <w:sz w:val="20"/>
              </w:rPr>
            </w:pPr>
            <w:r w:rsidRPr="00893C31">
              <w:rPr>
                <w:sz w:val="20"/>
              </w:rPr>
              <w:t>Directs and leads feasibility assessments for initiatives that will have a significant impact on the organisation.</w:t>
            </w:r>
          </w:p>
          <w:p w14:paraId="73CDEC7A" w14:textId="77777777" w:rsidR="00893C31" w:rsidRPr="00893C31" w:rsidRDefault="00893C31" w:rsidP="00893C31">
            <w:pPr>
              <w:numPr>
                <w:ilvl w:val="0"/>
                <w:numId w:val="1"/>
              </w:numPr>
              <w:tabs>
                <w:tab w:val="clear" w:pos="360"/>
              </w:tabs>
              <w:rPr>
                <w:sz w:val="20"/>
              </w:rPr>
            </w:pPr>
            <w:r w:rsidRPr="00893C31">
              <w:rPr>
                <w:sz w:val="20"/>
              </w:rPr>
              <w:t>Engages with senior stakeholders to clarify the strategic context for investment options. Directs and leads the selection of feasibility assessment approaches and techniques that are relevant to the business situation and options.</w:t>
            </w:r>
          </w:p>
          <w:p w14:paraId="510A040C" w14:textId="70372AB0" w:rsidR="00893C31" w:rsidRPr="00D41FC4" w:rsidRDefault="00893C31" w:rsidP="00D41FC4">
            <w:pPr>
              <w:numPr>
                <w:ilvl w:val="0"/>
                <w:numId w:val="1"/>
              </w:numPr>
              <w:tabs>
                <w:tab w:val="clear" w:pos="360"/>
              </w:tabs>
              <w:rPr>
                <w:sz w:val="20"/>
              </w:rPr>
            </w:pPr>
            <w:r w:rsidRPr="00893C31">
              <w:rPr>
                <w:sz w:val="20"/>
              </w:rPr>
              <w:t>Presents feasibility assessments and business cases to senior stakeholders and supports decision-making regarding investment options.</w:t>
            </w:r>
          </w:p>
        </w:tc>
        <w:tc>
          <w:tcPr>
            <w:tcW w:w="1271" w:type="dxa"/>
          </w:tcPr>
          <w:p w14:paraId="084A1C26" w14:textId="157B3116" w:rsidR="00893C31" w:rsidRPr="00D41FC4" w:rsidRDefault="00893C31">
            <w:pPr>
              <w:rPr>
                <w:sz w:val="20"/>
              </w:rPr>
            </w:pPr>
            <w:r w:rsidRPr="00D41FC4">
              <w:rPr>
                <w:sz w:val="20"/>
              </w:rPr>
              <w:t>Level 6</w:t>
            </w:r>
          </w:p>
        </w:tc>
      </w:tr>
      <w:tr w:rsidR="00893C31" w:rsidRPr="00372FE9" w14:paraId="39E8A7DC" w14:textId="77777777" w:rsidTr="00103875">
        <w:trPr>
          <w:cantSplit/>
        </w:trPr>
        <w:tc>
          <w:tcPr>
            <w:tcW w:w="1464" w:type="dxa"/>
          </w:tcPr>
          <w:p w14:paraId="1FE89832" w14:textId="6678F3F8" w:rsidR="00893C31" w:rsidRPr="00C978B9" w:rsidRDefault="00893C31" w:rsidP="003E0D69">
            <w:pPr>
              <w:rPr>
                <w:noProof/>
                <w:lang w:eastAsia="en-AU"/>
              </w:rPr>
            </w:pPr>
            <w:r w:rsidRPr="00C978B9">
              <w:rPr>
                <w:noProof/>
                <w:lang w:eastAsia="en-AU"/>
              </w:rPr>
              <w:drawing>
                <wp:inline distT="0" distB="0" distL="0" distR="0" wp14:anchorId="4934703F" wp14:editId="7BC30417">
                  <wp:extent cx="838200" cy="838200"/>
                  <wp:effectExtent l="0" t="0" r="0" b="0"/>
                  <wp:docPr id="5"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nance-professionals-capability-set.jpg" descr="Finance log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52" w:type="dxa"/>
          </w:tcPr>
          <w:p w14:paraId="39238BA8" w14:textId="6378D02A" w:rsidR="00893C31" w:rsidRPr="00D41FC4" w:rsidRDefault="00D41FC4">
            <w:pPr>
              <w:rPr>
                <w:sz w:val="20"/>
              </w:rPr>
            </w:pPr>
            <w:r w:rsidRPr="00D41FC4">
              <w:rPr>
                <w:sz w:val="20"/>
              </w:rPr>
              <w:t xml:space="preserve">Strategy and architecture / Security and privacy / </w:t>
            </w:r>
            <w:r w:rsidR="00893C31" w:rsidRPr="00D41FC4">
              <w:rPr>
                <w:sz w:val="20"/>
              </w:rPr>
              <w:t>Information assurance (INAS)</w:t>
            </w:r>
          </w:p>
        </w:tc>
        <w:tc>
          <w:tcPr>
            <w:tcW w:w="4901" w:type="dxa"/>
          </w:tcPr>
          <w:p w14:paraId="733DF050" w14:textId="77777777" w:rsidR="00893C31" w:rsidRPr="00893C31" w:rsidRDefault="00893C31" w:rsidP="00893C31">
            <w:pPr>
              <w:numPr>
                <w:ilvl w:val="0"/>
                <w:numId w:val="1"/>
              </w:numPr>
              <w:tabs>
                <w:tab w:val="clear" w:pos="360"/>
              </w:tabs>
              <w:rPr>
                <w:sz w:val="20"/>
              </w:rPr>
            </w:pPr>
            <w:r w:rsidRPr="00893C31">
              <w:rPr>
                <w:sz w:val="20"/>
              </w:rPr>
              <w:t>Interprets information assurance and security policies and applies these to manage risks.</w:t>
            </w:r>
          </w:p>
          <w:p w14:paraId="2A392566" w14:textId="77777777" w:rsidR="00893C31" w:rsidRPr="00893C31" w:rsidRDefault="00893C31" w:rsidP="00893C31">
            <w:pPr>
              <w:numPr>
                <w:ilvl w:val="0"/>
                <w:numId w:val="1"/>
              </w:numPr>
              <w:tabs>
                <w:tab w:val="clear" w:pos="360"/>
              </w:tabs>
              <w:rPr>
                <w:sz w:val="20"/>
              </w:rPr>
            </w:pPr>
            <w:r w:rsidRPr="00893C31">
              <w:rPr>
                <w:sz w:val="20"/>
              </w:rPr>
              <w:t>Provides advice and guidance to ensure adoption of and adherence to information assurance architectures, strategies, policies, standards and guidelines.</w:t>
            </w:r>
          </w:p>
          <w:p w14:paraId="6D5C891A" w14:textId="77777777" w:rsidR="00893C31" w:rsidRPr="00893C31" w:rsidRDefault="00893C31" w:rsidP="00893C31">
            <w:pPr>
              <w:numPr>
                <w:ilvl w:val="0"/>
                <w:numId w:val="1"/>
              </w:numPr>
              <w:tabs>
                <w:tab w:val="clear" w:pos="360"/>
              </w:tabs>
              <w:rPr>
                <w:sz w:val="20"/>
              </w:rPr>
            </w:pPr>
            <w:r w:rsidRPr="00893C31">
              <w:rPr>
                <w:sz w:val="20"/>
              </w:rPr>
              <w:t>Plans, organises and conducts information assurance and accreditation of complex domains areas, cross-functional areas, and across the supply chain.</w:t>
            </w:r>
          </w:p>
          <w:p w14:paraId="23B18F8A" w14:textId="4AD6E20A" w:rsidR="00893C31" w:rsidRPr="00D41FC4" w:rsidRDefault="00893C31" w:rsidP="00D41FC4">
            <w:pPr>
              <w:numPr>
                <w:ilvl w:val="0"/>
                <w:numId w:val="1"/>
              </w:numPr>
              <w:tabs>
                <w:tab w:val="clear" w:pos="360"/>
              </w:tabs>
              <w:rPr>
                <w:sz w:val="20"/>
              </w:rPr>
            </w:pPr>
            <w:r w:rsidRPr="00893C31">
              <w:rPr>
                <w:sz w:val="20"/>
              </w:rPr>
              <w:t>Contributes to the development of policies, standards and guidelines.</w:t>
            </w:r>
          </w:p>
        </w:tc>
        <w:tc>
          <w:tcPr>
            <w:tcW w:w="1271" w:type="dxa"/>
          </w:tcPr>
          <w:p w14:paraId="6DDC5D00" w14:textId="6528C47F" w:rsidR="00893C31" w:rsidRPr="00D41FC4" w:rsidRDefault="00893C31">
            <w:pPr>
              <w:rPr>
                <w:sz w:val="20"/>
              </w:rPr>
            </w:pPr>
            <w:r w:rsidRPr="00D41FC4">
              <w:rPr>
                <w:sz w:val="20"/>
              </w:rPr>
              <w:t>Level 5</w:t>
            </w:r>
          </w:p>
        </w:tc>
      </w:tr>
      <w:tr w:rsidR="00893C31" w:rsidRPr="00372FE9" w14:paraId="2822CF1B" w14:textId="77777777" w:rsidTr="00103875">
        <w:trPr>
          <w:cantSplit/>
        </w:trPr>
        <w:tc>
          <w:tcPr>
            <w:tcW w:w="1464" w:type="dxa"/>
          </w:tcPr>
          <w:p w14:paraId="1677CB85" w14:textId="5B9D3F54" w:rsidR="00893C31" w:rsidRPr="00C978B9" w:rsidRDefault="00893C31" w:rsidP="003E0D69">
            <w:pPr>
              <w:rPr>
                <w:noProof/>
                <w:lang w:eastAsia="en-AU"/>
              </w:rPr>
            </w:pPr>
            <w:r w:rsidRPr="00C978B9">
              <w:rPr>
                <w:noProof/>
                <w:lang w:eastAsia="en-AU"/>
              </w:rPr>
              <w:lastRenderedPageBreak/>
              <w:drawing>
                <wp:inline distT="0" distB="0" distL="0" distR="0" wp14:anchorId="3A936F87" wp14:editId="452A6B1B">
                  <wp:extent cx="838200" cy="838200"/>
                  <wp:effectExtent l="0" t="0" r="0" b="0"/>
                  <wp:docPr id="6"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nance-professionals-capability-set.jpg" descr="Finance log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52" w:type="dxa"/>
          </w:tcPr>
          <w:p w14:paraId="0CC76F68" w14:textId="12620885" w:rsidR="00893C31" w:rsidRPr="00D41FC4" w:rsidRDefault="00D41FC4">
            <w:pPr>
              <w:rPr>
                <w:sz w:val="20"/>
              </w:rPr>
            </w:pPr>
            <w:r w:rsidRPr="00D41FC4">
              <w:rPr>
                <w:sz w:val="20"/>
              </w:rPr>
              <w:t xml:space="preserve">Strategy and architecture / Security and privacy / </w:t>
            </w:r>
            <w:r w:rsidR="00893C31" w:rsidRPr="00D41FC4">
              <w:rPr>
                <w:sz w:val="20"/>
              </w:rPr>
              <w:t>Information security (SCTY)</w:t>
            </w:r>
          </w:p>
        </w:tc>
        <w:tc>
          <w:tcPr>
            <w:tcW w:w="4901" w:type="dxa"/>
          </w:tcPr>
          <w:p w14:paraId="10534070" w14:textId="77777777" w:rsidR="00893C31" w:rsidRPr="00893C31" w:rsidRDefault="00893C31" w:rsidP="00893C31">
            <w:pPr>
              <w:numPr>
                <w:ilvl w:val="0"/>
                <w:numId w:val="1"/>
              </w:numPr>
              <w:tabs>
                <w:tab w:val="clear" w:pos="360"/>
              </w:tabs>
              <w:rPr>
                <w:sz w:val="20"/>
              </w:rPr>
            </w:pPr>
            <w:r w:rsidRPr="00893C31">
              <w:rPr>
                <w:sz w:val="20"/>
              </w:rPr>
              <w:t>Provides advice and guidance on security strategies to manage identified risks and ensure adoption and adherence to standards.</w:t>
            </w:r>
          </w:p>
          <w:p w14:paraId="64DBD064" w14:textId="77777777" w:rsidR="00893C31" w:rsidRPr="00893C31" w:rsidRDefault="00893C31" w:rsidP="00893C31">
            <w:pPr>
              <w:numPr>
                <w:ilvl w:val="0"/>
                <w:numId w:val="1"/>
              </w:numPr>
              <w:tabs>
                <w:tab w:val="clear" w:pos="360"/>
              </w:tabs>
              <w:rPr>
                <w:sz w:val="20"/>
              </w:rPr>
            </w:pPr>
            <w:r w:rsidRPr="00893C31">
              <w:rPr>
                <w:sz w:val="20"/>
              </w:rPr>
              <w:t>Contributes to development of information security policy, standards and guidelines.</w:t>
            </w:r>
          </w:p>
          <w:p w14:paraId="5FD68603" w14:textId="77777777" w:rsidR="00893C31" w:rsidRPr="00893C31" w:rsidRDefault="00893C31" w:rsidP="00893C31">
            <w:pPr>
              <w:numPr>
                <w:ilvl w:val="0"/>
                <w:numId w:val="1"/>
              </w:numPr>
              <w:tabs>
                <w:tab w:val="clear" w:pos="360"/>
              </w:tabs>
              <w:rPr>
                <w:sz w:val="20"/>
              </w:rPr>
            </w:pPr>
            <w:r w:rsidRPr="00893C31">
              <w:rPr>
                <w:sz w:val="20"/>
              </w:rPr>
              <w:t>Obtains and acts on vulnerability information and conducts security risk assessments, business impact analysis and accreditation on complex information systems. Investigates major breaches of security, and recommends appropriate control improvements.</w:t>
            </w:r>
          </w:p>
          <w:p w14:paraId="5A09A433" w14:textId="4052387B" w:rsidR="00893C31" w:rsidRPr="00D41FC4" w:rsidRDefault="00893C31" w:rsidP="00D41FC4">
            <w:pPr>
              <w:numPr>
                <w:ilvl w:val="0"/>
                <w:numId w:val="1"/>
              </w:numPr>
              <w:tabs>
                <w:tab w:val="clear" w:pos="360"/>
              </w:tabs>
              <w:rPr>
                <w:sz w:val="20"/>
              </w:rPr>
            </w:pPr>
            <w:r w:rsidRPr="00893C31">
              <w:rPr>
                <w:sz w:val="20"/>
              </w:rPr>
              <w:t>Develops new architectures that mitigate the risks posed by new technologies and business practices.</w:t>
            </w:r>
          </w:p>
        </w:tc>
        <w:tc>
          <w:tcPr>
            <w:tcW w:w="1271" w:type="dxa"/>
          </w:tcPr>
          <w:p w14:paraId="3EED13F1" w14:textId="154F2B84" w:rsidR="00893C31" w:rsidRPr="00D41FC4" w:rsidRDefault="00893C31">
            <w:pPr>
              <w:rPr>
                <w:sz w:val="20"/>
              </w:rPr>
            </w:pPr>
            <w:r w:rsidRPr="00D41FC4">
              <w:rPr>
                <w:sz w:val="20"/>
              </w:rPr>
              <w:t>Level 5</w:t>
            </w:r>
          </w:p>
        </w:tc>
      </w:tr>
      <w:tr w:rsidR="00893C31" w:rsidRPr="00372FE9" w14:paraId="43C656F4" w14:textId="77777777" w:rsidTr="00103875">
        <w:trPr>
          <w:cantSplit/>
        </w:trPr>
        <w:tc>
          <w:tcPr>
            <w:tcW w:w="1464" w:type="dxa"/>
          </w:tcPr>
          <w:p w14:paraId="7B6FF6AA" w14:textId="5B1B7CA3" w:rsidR="00893C31" w:rsidRPr="00C978B9" w:rsidRDefault="00893C31" w:rsidP="003E0D69">
            <w:pPr>
              <w:rPr>
                <w:noProof/>
                <w:lang w:eastAsia="en-AU"/>
              </w:rPr>
            </w:pPr>
            <w:r w:rsidRPr="00C978B9">
              <w:rPr>
                <w:noProof/>
                <w:lang w:eastAsia="en-AU"/>
              </w:rPr>
              <w:drawing>
                <wp:inline distT="0" distB="0" distL="0" distR="0" wp14:anchorId="488962DD" wp14:editId="59A29678">
                  <wp:extent cx="838200" cy="838200"/>
                  <wp:effectExtent l="0" t="0" r="0" b="0"/>
                  <wp:docPr id="7"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nance-professionals-capability-set.jpg" descr="Finance log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52" w:type="dxa"/>
          </w:tcPr>
          <w:p w14:paraId="1156E082" w14:textId="6FA70769" w:rsidR="00893C31" w:rsidRPr="00D41FC4" w:rsidRDefault="00D41FC4" w:rsidP="00D41FC4">
            <w:pPr>
              <w:tabs>
                <w:tab w:val="center" w:pos="1369"/>
              </w:tabs>
              <w:rPr>
                <w:sz w:val="20"/>
              </w:rPr>
            </w:pPr>
            <w:r w:rsidRPr="00D41FC4">
              <w:rPr>
                <w:sz w:val="20"/>
              </w:rPr>
              <w:t xml:space="preserve">Strategy and architecture / Governance, risk and compliance / Audit </w:t>
            </w:r>
            <w:r w:rsidR="00893C31" w:rsidRPr="00D41FC4">
              <w:rPr>
                <w:sz w:val="20"/>
              </w:rPr>
              <w:t>(AUDT)</w:t>
            </w:r>
            <w:r w:rsidRPr="00D41FC4">
              <w:rPr>
                <w:sz w:val="20"/>
              </w:rPr>
              <w:tab/>
            </w:r>
          </w:p>
        </w:tc>
        <w:tc>
          <w:tcPr>
            <w:tcW w:w="4901" w:type="dxa"/>
          </w:tcPr>
          <w:p w14:paraId="1F331E76" w14:textId="77777777" w:rsidR="00D41FC4" w:rsidRPr="00D41FC4" w:rsidRDefault="00D41FC4" w:rsidP="00D41FC4">
            <w:pPr>
              <w:numPr>
                <w:ilvl w:val="0"/>
                <w:numId w:val="1"/>
              </w:numPr>
              <w:tabs>
                <w:tab w:val="clear" w:pos="360"/>
              </w:tabs>
              <w:rPr>
                <w:sz w:val="20"/>
              </w:rPr>
            </w:pPr>
            <w:r w:rsidRPr="00D41FC4">
              <w:rPr>
                <w:sz w:val="20"/>
              </w:rPr>
              <w:t>Plans, organises and conducts audits of complex domains areas, cross-functional areas, and across the supply chain.</w:t>
            </w:r>
          </w:p>
          <w:p w14:paraId="072459F4" w14:textId="77777777" w:rsidR="00D41FC4" w:rsidRPr="00D41FC4" w:rsidRDefault="00D41FC4" w:rsidP="00D41FC4">
            <w:pPr>
              <w:numPr>
                <w:ilvl w:val="0"/>
                <w:numId w:val="1"/>
              </w:numPr>
              <w:tabs>
                <w:tab w:val="clear" w:pos="360"/>
              </w:tabs>
              <w:rPr>
                <w:sz w:val="20"/>
              </w:rPr>
            </w:pPr>
            <w:r w:rsidRPr="00D41FC4">
              <w:rPr>
                <w:sz w:val="20"/>
              </w:rPr>
              <w:t>Confirms the scope and objectives of specific audit activity with management. Aligns with the scope of the audit program and organisational policies.</w:t>
            </w:r>
          </w:p>
          <w:p w14:paraId="189BAB40" w14:textId="77777777" w:rsidR="00D41FC4" w:rsidRPr="00D41FC4" w:rsidRDefault="00D41FC4" w:rsidP="00D41FC4">
            <w:pPr>
              <w:numPr>
                <w:ilvl w:val="0"/>
                <w:numId w:val="1"/>
              </w:numPr>
              <w:tabs>
                <w:tab w:val="clear" w:pos="360"/>
              </w:tabs>
              <w:rPr>
                <w:sz w:val="20"/>
              </w:rPr>
            </w:pPr>
            <w:r w:rsidRPr="00D41FC4">
              <w:rPr>
                <w:sz w:val="20"/>
              </w:rPr>
              <w:t>Determines appropriate methods of investigation to achieve the audit objectives. Presents audit findings to management describing the effectiveness and efficiency of control mechanisms.</w:t>
            </w:r>
          </w:p>
          <w:p w14:paraId="4CEF924C" w14:textId="31C720C4" w:rsidR="00893C31" w:rsidRPr="00D41FC4" w:rsidRDefault="00D41FC4" w:rsidP="00D41FC4">
            <w:pPr>
              <w:numPr>
                <w:ilvl w:val="0"/>
                <w:numId w:val="1"/>
              </w:numPr>
              <w:tabs>
                <w:tab w:val="clear" w:pos="360"/>
              </w:tabs>
              <w:rPr>
                <w:sz w:val="20"/>
              </w:rPr>
            </w:pPr>
            <w:r w:rsidRPr="00D41FC4">
              <w:rPr>
                <w:sz w:val="20"/>
              </w:rPr>
              <w:t>Provides general and specific audit advice. Collaborates with professionals in related specialisms to develop and integrate findings.</w:t>
            </w:r>
          </w:p>
        </w:tc>
        <w:tc>
          <w:tcPr>
            <w:tcW w:w="1271" w:type="dxa"/>
          </w:tcPr>
          <w:p w14:paraId="1DCC5ADB" w14:textId="607BD229" w:rsidR="00893C31" w:rsidRPr="00D41FC4" w:rsidRDefault="00893C31">
            <w:pPr>
              <w:rPr>
                <w:sz w:val="20"/>
              </w:rPr>
            </w:pPr>
            <w:r w:rsidRPr="00D41FC4">
              <w:rPr>
                <w:sz w:val="20"/>
              </w:rPr>
              <w:t>Level 5</w:t>
            </w:r>
          </w:p>
        </w:tc>
      </w:tr>
    </w:tbl>
    <w:p w14:paraId="7213BD26" w14:textId="71F60ABB" w:rsidR="009E0B71" w:rsidRDefault="009E0B71" w:rsidP="001203EE">
      <w:pPr>
        <w:contextualSpacing/>
      </w:pPr>
    </w:p>
    <w:p w14:paraId="245C04AD" w14:textId="77777777" w:rsidR="00666621" w:rsidRDefault="00666621" w:rsidP="00666621">
      <w:pPr>
        <w:pStyle w:val="Heading2"/>
      </w:pPr>
      <w:r>
        <w:t>Complementary capabilities</w:t>
      </w:r>
    </w:p>
    <w:p w14:paraId="792C1BBD" w14:textId="77777777" w:rsidR="00666621" w:rsidRPr="003927AE" w:rsidRDefault="00666621" w:rsidP="00666621">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2C311906" w14:textId="77777777" w:rsidR="00666621" w:rsidRDefault="00666621" w:rsidP="00666621">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7299BC4A" w14:textId="77777777" w:rsidR="00666621" w:rsidRDefault="00666621" w:rsidP="00666621">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666621" w:rsidRPr="00372FE9" w14:paraId="28C99783" w14:textId="77777777" w:rsidTr="00666621">
        <w:trPr>
          <w:cnfStyle w:val="100000000000" w:firstRow="1" w:lastRow="0" w:firstColumn="0" w:lastColumn="0" w:oddVBand="0" w:evenVBand="0" w:oddHBand="0" w:evenHBand="0" w:firstRowFirstColumn="0" w:firstRowLastColumn="0" w:lastRowFirstColumn="0" w:lastRowLastColumn="0"/>
          <w:tblHeader/>
        </w:trPr>
        <w:tc>
          <w:tcPr>
            <w:tcW w:w="1276" w:type="dxa"/>
            <w:shd w:val="clear" w:color="auto" w:fill="BFBFBF" w:themeFill="background1" w:themeFillShade="BF"/>
            <w:vAlign w:val="center"/>
          </w:tcPr>
          <w:p w14:paraId="0ED95D2B" w14:textId="77777777" w:rsidR="00666621" w:rsidRPr="00372FE9" w:rsidRDefault="00666621" w:rsidP="0006735B">
            <w:pPr>
              <w:rPr>
                <w:sz w:val="20"/>
              </w:rPr>
            </w:pPr>
            <w:r w:rsidRPr="00372FE9">
              <w:rPr>
                <w:b/>
                <w:sz w:val="20"/>
              </w:rPr>
              <w:t>Capability group/sets</w:t>
            </w:r>
          </w:p>
        </w:tc>
        <w:tc>
          <w:tcPr>
            <w:tcW w:w="2693" w:type="dxa"/>
            <w:shd w:val="clear" w:color="auto" w:fill="BFBFBF" w:themeFill="background1" w:themeFillShade="BF"/>
          </w:tcPr>
          <w:p w14:paraId="43D7FEE2" w14:textId="77777777" w:rsidR="00666621" w:rsidRPr="00372FE9" w:rsidRDefault="00666621" w:rsidP="0006735B">
            <w:pPr>
              <w:rPr>
                <w:sz w:val="20"/>
              </w:rPr>
            </w:pPr>
            <w:r w:rsidRPr="00372FE9">
              <w:rPr>
                <w:b/>
                <w:sz w:val="20"/>
              </w:rPr>
              <w:t>Capability name</w:t>
            </w:r>
          </w:p>
        </w:tc>
        <w:tc>
          <w:tcPr>
            <w:tcW w:w="4851" w:type="dxa"/>
            <w:shd w:val="clear" w:color="auto" w:fill="BFBFBF" w:themeFill="background1" w:themeFillShade="BF"/>
          </w:tcPr>
          <w:p w14:paraId="5059E9C9" w14:textId="77777777" w:rsidR="00666621" w:rsidRPr="00372FE9" w:rsidRDefault="00666621" w:rsidP="0006735B">
            <w:pPr>
              <w:rPr>
                <w:sz w:val="20"/>
              </w:rPr>
            </w:pPr>
            <w:r w:rsidRPr="00372FE9">
              <w:rPr>
                <w:b/>
                <w:sz w:val="20"/>
              </w:rPr>
              <w:t>Description</w:t>
            </w:r>
          </w:p>
        </w:tc>
        <w:tc>
          <w:tcPr>
            <w:tcW w:w="1668" w:type="dxa"/>
            <w:shd w:val="clear" w:color="auto" w:fill="BFBFBF" w:themeFill="background1" w:themeFillShade="BF"/>
          </w:tcPr>
          <w:p w14:paraId="246A9B03" w14:textId="77777777" w:rsidR="00666621" w:rsidRPr="00372FE9" w:rsidRDefault="00666621" w:rsidP="0006735B">
            <w:pPr>
              <w:rPr>
                <w:b/>
                <w:bCs/>
                <w:sz w:val="20"/>
              </w:rPr>
            </w:pPr>
            <w:r w:rsidRPr="00372FE9">
              <w:rPr>
                <w:b/>
                <w:bCs/>
                <w:sz w:val="20"/>
              </w:rPr>
              <w:t>Level</w:t>
            </w:r>
          </w:p>
        </w:tc>
      </w:tr>
      <w:tr w:rsidR="00666621" w:rsidRPr="00372FE9" w14:paraId="68B6ACDC" w14:textId="77777777" w:rsidTr="0006735B">
        <w:trPr>
          <w:cantSplit/>
        </w:trPr>
        <w:tc>
          <w:tcPr>
            <w:tcW w:w="1276" w:type="dxa"/>
          </w:tcPr>
          <w:p w14:paraId="58C632C3" w14:textId="77777777" w:rsidR="00666621" w:rsidRPr="00372FE9" w:rsidRDefault="00666621" w:rsidP="0006735B">
            <w:pPr>
              <w:rPr>
                <w:sz w:val="20"/>
              </w:rPr>
            </w:pPr>
            <w:r w:rsidRPr="00372FE9">
              <w:rPr>
                <w:noProof/>
                <w:sz w:val="20"/>
                <w:lang w:eastAsia="en-AU"/>
              </w:rPr>
              <w:drawing>
                <wp:inline distT="0" distB="0" distL="0" distR="0" wp14:anchorId="23658F98" wp14:editId="0A427C3C">
                  <wp:extent cx="416966" cy="416966"/>
                  <wp:effectExtent l="0" t="0" r="2540" b="2540"/>
                  <wp:docPr id="613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6964931" w14:textId="77777777" w:rsidR="00666621" w:rsidRPr="00372FE9" w:rsidRDefault="00666621" w:rsidP="0006735B">
            <w:pPr>
              <w:pStyle w:val="TableText"/>
            </w:pPr>
            <w:r w:rsidRPr="00372FE9">
              <w:t>Display Resilience and Courage</w:t>
            </w:r>
          </w:p>
        </w:tc>
        <w:tc>
          <w:tcPr>
            <w:tcW w:w="4851" w:type="dxa"/>
          </w:tcPr>
          <w:p w14:paraId="0E82BB4A" w14:textId="77777777" w:rsidR="00666621" w:rsidRPr="00372FE9" w:rsidRDefault="00666621" w:rsidP="0006735B">
            <w:pPr>
              <w:pStyle w:val="TableText"/>
            </w:pPr>
            <w:r w:rsidRPr="00372FE9">
              <w:t>Be open and honest, prepared to express your views, and willing to accept and commit to change</w:t>
            </w:r>
          </w:p>
        </w:tc>
        <w:tc>
          <w:tcPr>
            <w:tcW w:w="1668" w:type="dxa"/>
          </w:tcPr>
          <w:p w14:paraId="4857BB3B" w14:textId="77777777" w:rsidR="00666621" w:rsidRPr="00372FE9" w:rsidRDefault="00666621" w:rsidP="0006735B">
            <w:pPr>
              <w:pStyle w:val="TableText"/>
            </w:pPr>
            <w:r w:rsidRPr="004C659E">
              <w:t>Adept</w:t>
            </w:r>
          </w:p>
        </w:tc>
      </w:tr>
      <w:tr w:rsidR="00666621" w:rsidRPr="00372FE9" w14:paraId="24D1A618" w14:textId="77777777" w:rsidTr="0006735B">
        <w:trPr>
          <w:cantSplit/>
        </w:trPr>
        <w:tc>
          <w:tcPr>
            <w:tcW w:w="1276" w:type="dxa"/>
          </w:tcPr>
          <w:p w14:paraId="43125960" w14:textId="77777777" w:rsidR="00666621" w:rsidRPr="00372FE9" w:rsidRDefault="00666621" w:rsidP="0006735B">
            <w:pPr>
              <w:rPr>
                <w:sz w:val="20"/>
              </w:rPr>
            </w:pPr>
            <w:r w:rsidRPr="00372FE9">
              <w:rPr>
                <w:noProof/>
                <w:sz w:val="20"/>
                <w:lang w:eastAsia="en-AU"/>
              </w:rPr>
              <w:drawing>
                <wp:inline distT="0" distB="0" distL="0" distR="0" wp14:anchorId="33A4BE3F" wp14:editId="5223566B">
                  <wp:extent cx="416966" cy="416966"/>
                  <wp:effectExtent l="0" t="0" r="2540" b="2540"/>
                  <wp:docPr id="449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1FB8F78" w14:textId="77777777" w:rsidR="00666621" w:rsidRPr="00372FE9" w:rsidRDefault="00666621" w:rsidP="0006735B">
            <w:pPr>
              <w:pStyle w:val="TableText"/>
            </w:pPr>
            <w:r w:rsidRPr="00372FE9">
              <w:t>Manage Self</w:t>
            </w:r>
          </w:p>
        </w:tc>
        <w:tc>
          <w:tcPr>
            <w:tcW w:w="4851" w:type="dxa"/>
          </w:tcPr>
          <w:p w14:paraId="1ABBAF09" w14:textId="77777777" w:rsidR="00666621" w:rsidRPr="00372FE9" w:rsidRDefault="00666621" w:rsidP="0006735B">
            <w:pPr>
              <w:pStyle w:val="TableText"/>
            </w:pPr>
            <w:r w:rsidRPr="00372FE9">
              <w:t>Show drive and motivation, an ability to self-reflect and a commitment to learning</w:t>
            </w:r>
          </w:p>
        </w:tc>
        <w:tc>
          <w:tcPr>
            <w:tcW w:w="1668" w:type="dxa"/>
          </w:tcPr>
          <w:p w14:paraId="2D36A7D7" w14:textId="77777777" w:rsidR="00666621" w:rsidRPr="00372FE9" w:rsidRDefault="00666621" w:rsidP="0006735B">
            <w:pPr>
              <w:pStyle w:val="TableText"/>
            </w:pPr>
            <w:r w:rsidRPr="004C659E">
              <w:t>Adept</w:t>
            </w:r>
          </w:p>
        </w:tc>
      </w:tr>
      <w:tr w:rsidR="00666621" w:rsidRPr="00372FE9" w14:paraId="16EFE295" w14:textId="77777777" w:rsidTr="0006735B">
        <w:trPr>
          <w:cantSplit/>
        </w:trPr>
        <w:tc>
          <w:tcPr>
            <w:tcW w:w="1276" w:type="dxa"/>
          </w:tcPr>
          <w:p w14:paraId="19DDA908" w14:textId="77777777" w:rsidR="00666621" w:rsidRPr="00372FE9" w:rsidRDefault="00666621" w:rsidP="0006735B">
            <w:pPr>
              <w:rPr>
                <w:sz w:val="20"/>
              </w:rPr>
            </w:pPr>
            <w:r w:rsidRPr="00372FE9">
              <w:rPr>
                <w:noProof/>
                <w:sz w:val="20"/>
                <w:lang w:eastAsia="en-AU"/>
              </w:rPr>
              <w:drawing>
                <wp:inline distT="0" distB="0" distL="0" distR="0" wp14:anchorId="30B7376A" wp14:editId="7FD5B09A">
                  <wp:extent cx="416966" cy="416966"/>
                  <wp:effectExtent l="0" t="0" r="2540" b="2540"/>
                  <wp:docPr id="808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7AA683A" w14:textId="77777777" w:rsidR="00666621" w:rsidRPr="00372FE9" w:rsidRDefault="00666621" w:rsidP="0006735B">
            <w:pPr>
              <w:pStyle w:val="TableText"/>
            </w:pPr>
            <w:r w:rsidRPr="00372FE9">
              <w:t>Value Diversity and Inclusion</w:t>
            </w:r>
          </w:p>
        </w:tc>
        <w:tc>
          <w:tcPr>
            <w:tcW w:w="4851" w:type="dxa"/>
          </w:tcPr>
          <w:p w14:paraId="0F6D6E7C" w14:textId="77777777" w:rsidR="00666621" w:rsidRPr="00372FE9" w:rsidRDefault="00666621" w:rsidP="0006735B">
            <w:pPr>
              <w:pStyle w:val="TableText"/>
            </w:pPr>
            <w:r w:rsidRPr="00372FE9">
              <w:t>Demonstrate inclusive behaviour and show respect for diverse backgrounds, experiences and perspectives</w:t>
            </w:r>
          </w:p>
        </w:tc>
        <w:tc>
          <w:tcPr>
            <w:tcW w:w="1668" w:type="dxa"/>
          </w:tcPr>
          <w:p w14:paraId="743456B9" w14:textId="77777777" w:rsidR="00666621" w:rsidRPr="00372FE9" w:rsidRDefault="00666621" w:rsidP="0006735B">
            <w:pPr>
              <w:pStyle w:val="TableText"/>
            </w:pPr>
            <w:r w:rsidRPr="004C659E">
              <w:t>Adept</w:t>
            </w:r>
          </w:p>
        </w:tc>
      </w:tr>
      <w:tr w:rsidR="00666621" w:rsidRPr="00372FE9" w14:paraId="0D274CBE" w14:textId="77777777" w:rsidTr="0006735B">
        <w:trPr>
          <w:cantSplit/>
        </w:trPr>
        <w:tc>
          <w:tcPr>
            <w:tcW w:w="1276" w:type="dxa"/>
          </w:tcPr>
          <w:p w14:paraId="0BD42CD9" w14:textId="77777777" w:rsidR="00666621" w:rsidRPr="00372FE9" w:rsidRDefault="00666621" w:rsidP="0006735B">
            <w:pPr>
              <w:rPr>
                <w:sz w:val="20"/>
              </w:rPr>
            </w:pPr>
            <w:r w:rsidRPr="00372FE9">
              <w:rPr>
                <w:noProof/>
                <w:sz w:val="20"/>
                <w:lang w:eastAsia="en-AU"/>
              </w:rPr>
              <w:lastRenderedPageBreak/>
              <w:drawing>
                <wp:inline distT="0" distB="0" distL="0" distR="0" wp14:anchorId="43E4EEA5" wp14:editId="40A3FC98">
                  <wp:extent cx="416966" cy="416966"/>
                  <wp:effectExtent l="0" t="0" r="2540" b="2540"/>
                  <wp:docPr id="644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C93594" w14:textId="77777777" w:rsidR="00666621" w:rsidRPr="00372FE9" w:rsidRDefault="00666621" w:rsidP="0006735B">
            <w:pPr>
              <w:pStyle w:val="TableText"/>
            </w:pPr>
            <w:r w:rsidRPr="00372FE9">
              <w:t>Communicate Effectively</w:t>
            </w:r>
          </w:p>
        </w:tc>
        <w:tc>
          <w:tcPr>
            <w:tcW w:w="4851" w:type="dxa"/>
          </w:tcPr>
          <w:p w14:paraId="73196A2B" w14:textId="77777777" w:rsidR="00666621" w:rsidRPr="00372FE9" w:rsidRDefault="00666621" w:rsidP="0006735B">
            <w:pPr>
              <w:pStyle w:val="TableText"/>
            </w:pPr>
            <w:r w:rsidRPr="00372FE9">
              <w:t>Communicate clearly, actively listen to others, and respond with understanding and respect</w:t>
            </w:r>
          </w:p>
        </w:tc>
        <w:tc>
          <w:tcPr>
            <w:tcW w:w="1668" w:type="dxa"/>
          </w:tcPr>
          <w:p w14:paraId="310AFA0B" w14:textId="77777777" w:rsidR="00666621" w:rsidRPr="00372FE9" w:rsidRDefault="00666621" w:rsidP="0006735B">
            <w:pPr>
              <w:pStyle w:val="TableText"/>
            </w:pPr>
            <w:r w:rsidRPr="004C659E">
              <w:t>Adept</w:t>
            </w:r>
          </w:p>
        </w:tc>
      </w:tr>
      <w:tr w:rsidR="00666621" w:rsidRPr="00372FE9" w14:paraId="25261A90" w14:textId="77777777" w:rsidTr="0006735B">
        <w:trPr>
          <w:cantSplit/>
        </w:trPr>
        <w:tc>
          <w:tcPr>
            <w:tcW w:w="1276" w:type="dxa"/>
          </w:tcPr>
          <w:p w14:paraId="37B7D936" w14:textId="77777777" w:rsidR="00666621" w:rsidRPr="00372FE9" w:rsidRDefault="00666621" w:rsidP="0006735B">
            <w:pPr>
              <w:rPr>
                <w:sz w:val="20"/>
              </w:rPr>
            </w:pPr>
            <w:r w:rsidRPr="00372FE9">
              <w:rPr>
                <w:noProof/>
                <w:sz w:val="20"/>
                <w:lang w:eastAsia="en-AU"/>
              </w:rPr>
              <w:drawing>
                <wp:inline distT="0" distB="0" distL="0" distR="0" wp14:anchorId="6E1E2616" wp14:editId="15A81627">
                  <wp:extent cx="416966" cy="416966"/>
                  <wp:effectExtent l="0" t="0" r="2540" b="2540"/>
                  <wp:docPr id="4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314AB56" w14:textId="77777777" w:rsidR="00666621" w:rsidRPr="00372FE9" w:rsidRDefault="00666621" w:rsidP="0006735B">
            <w:pPr>
              <w:pStyle w:val="TableText"/>
            </w:pPr>
            <w:r w:rsidRPr="00372FE9">
              <w:t>Commit to Customer Service</w:t>
            </w:r>
          </w:p>
        </w:tc>
        <w:tc>
          <w:tcPr>
            <w:tcW w:w="4851" w:type="dxa"/>
          </w:tcPr>
          <w:p w14:paraId="6AFDB6FD" w14:textId="77777777" w:rsidR="00666621" w:rsidRPr="00372FE9" w:rsidRDefault="00666621" w:rsidP="0006735B">
            <w:pPr>
              <w:pStyle w:val="TableText"/>
            </w:pPr>
            <w:r w:rsidRPr="00372FE9">
              <w:t>Provide customer-focused services in line with public sector and organisational objectives</w:t>
            </w:r>
          </w:p>
        </w:tc>
        <w:tc>
          <w:tcPr>
            <w:tcW w:w="1668" w:type="dxa"/>
          </w:tcPr>
          <w:p w14:paraId="22620352" w14:textId="77777777" w:rsidR="00666621" w:rsidRPr="00372FE9" w:rsidRDefault="00666621" w:rsidP="0006735B">
            <w:pPr>
              <w:pStyle w:val="TableText"/>
            </w:pPr>
            <w:r w:rsidRPr="004C659E">
              <w:t>Adept</w:t>
            </w:r>
          </w:p>
        </w:tc>
      </w:tr>
      <w:tr w:rsidR="00666621" w:rsidRPr="00372FE9" w14:paraId="04449C1A" w14:textId="77777777" w:rsidTr="0006735B">
        <w:trPr>
          <w:cantSplit/>
        </w:trPr>
        <w:tc>
          <w:tcPr>
            <w:tcW w:w="1276" w:type="dxa"/>
          </w:tcPr>
          <w:p w14:paraId="41D5BB83" w14:textId="77777777" w:rsidR="00666621" w:rsidRPr="00372FE9" w:rsidRDefault="00666621" w:rsidP="0006735B">
            <w:pPr>
              <w:rPr>
                <w:sz w:val="20"/>
              </w:rPr>
            </w:pPr>
            <w:r w:rsidRPr="00372FE9">
              <w:rPr>
                <w:noProof/>
                <w:sz w:val="20"/>
                <w:lang w:eastAsia="en-AU"/>
              </w:rPr>
              <w:drawing>
                <wp:inline distT="0" distB="0" distL="0" distR="0" wp14:anchorId="6C6688E4" wp14:editId="349E91E8">
                  <wp:extent cx="416966" cy="416966"/>
                  <wp:effectExtent l="0" t="0" r="2540" b="2540"/>
                  <wp:docPr id="362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F876915" w14:textId="77777777" w:rsidR="00666621" w:rsidRPr="00372FE9" w:rsidRDefault="00666621" w:rsidP="0006735B">
            <w:pPr>
              <w:pStyle w:val="TableText"/>
            </w:pPr>
            <w:r w:rsidRPr="00372FE9">
              <w:t>Work Collaboratively</w:t>
            </w:r>
          </w:p>
        </w:tc>
        <w:tc>
          <w:tcPr>
            <w:tcW w:w="4851" w:type="dxa"/>
          </w:tcPr>
          <w:p w14:paraId="48D711F6" w14:textId="77777777" w:rsidR="00666621" w:rsidRPr="00372FE9" w:rsidRDefault="00666621" w:rsidP="0006735B">
            <w:pPr>
              <w:pStyle w:val="TableText"/>
            </w:pPr>
            <w:r w:rsidRPr="00372FE9">
              <w:t>Collaborate with others and value their contribution</w:t>
            </w:r>
          </w:p>
        </w:tc>
        <w:tc>
          <w:tcPr>
            <w:tcW w:w="1668" w:type="dxa"/>
          </w:tcPr>
          <w:p w14:paraId="7DD8E135" w14:textId="77777777" w:rsidR="00666621" w:rsidRPr="00372FE9" w:rsidRDefault="00666621" w:rsidP="0006735B">
            <w:pPr>
              <w:pStyle w:val="TableText"/>
            </w:pPr>
            <w:r w:rsidRPr="004C659E">
              <w:t>Adept</w:t>
            </w:r>
          </w:p>
        </w:tc>
      </w:tr>
      <w:tr w:rsidR="00666621" w:rsidRPr="00372FE9" w14:paraId="4CF909FB" w14:textId="77777777" w:rsidTr="0006735B">
        <w:trPr>
          <w:cantSplit/>
        </w:trPr>
        <w:tc>
          <w:tcPr>
            <w:tcW w:w="1276" w:type="dxa"/>
          </w:tcPr>
          <w:p w14:paraId="57255002" w14:textId="77777777" w:rsidR="00666621" w:rsidRPr="00372FE9" w:rsidRDefault="00666621" w:rsidP="0006735B">
            <w:pPr>
              <w:rPr>
                <w:sz w:val="20"/>
              </w:rPr>
            </w:pPr>
            <w:r w:rsidRPr="00372FE9">
              <w:rPr>
                <w:noProof/>
                <w:sz w:val="20"/>
                <w:lang w:eastAsia="en-AU"/>
              </w:rPr>
              <w:drawing>
                <wp:inline distT="0" distB="0" distL="0" distR="0" wp14:anchorId="42504D85" wp14:editId="1DBAB1CC">
                  <wp:extent cx="416966" cy="416966"/>
                  <wp:effectExtent l="0" t="0" r="2540" b="2540"/>
                  <wp:docPr id="199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D7B5044" w14:textId="77777777" w:rsidR="00666621" w:rsidRPr="00372FE9" w:rsidRDefault="00666621" w:rsidP="0006735B">
            <w:pPr>
              <w:pStyle w:val="TableText"/>
            </w:pPr>
            <w:r w:rsidRPr="00372FE9">
              <w:t>Deliver Results</w:t>
            </w:r>
          </w:p>
        </w:tc>
        <w:tc>
          <w:tcPr>
            <w:tcW w:w="4851" w:type="dxa"/>
          </w:tcPr>
          <w:p w14:paraId="0EC31DFE" w14:textId="77777777" w:rsidR="00666621" w:rsidRPr="00372FE9" w:rsidRDefault="00666621" w:rsidP="0006735B">
            <w:pPr>
              <w:pStyle w:val="TableText"/>
            </w:pPr>
            <w:r w:rsidRPr="00372FE9">
              <w:t>Achieve results through the efficient use of resources and a commitment to quality outcomes</w:t>
            </w:r>
          </w:p>
        </w:tc>
        <w:tc>
          <w:tcPr>
            <w:tcW w:w="1668" w:type="dxa"/>
          </w:tcPr>
          <w:p w14:paraId="6E625237" w14:textId="77777777" w:rsidR="00666621" w:rsidRPr="00372FE9" w:rsidRDefault="00666621" w:rsidP="0006735B">
            <w:pPr>
              <w:pStyle w:val="TableText"/>
            </w:pPr>
            <w:r w:rsidRPr="004C659E">
              <w:t>Adept</w:t>
            </w:r>
          </w:p>
        </w:tc>
      </w:tr>
      <w:tr w:rsidR="00666621" w:rsidRPr="00372FE9" w14:paraId="51170983" w14:textId="77777777" w:rsidTr="0006735B">
        <w:trPr>
          <w:cantSplit/>
        </w:trPr>
        <w:tc>
          <w:tcPr>
            <w:tcW w:w="1276" w:type="dxa"/>
          </w:tcPr>
          <w:p w14:paraId="0900C1B9" w14:textId="77777777" w:rsidR="00666621" w:rsidRPr="00372FE9" w:rsidRDefault="00666621" w:rsidP="0006735B">
            <w:pPr>
              <w:rPr>
                <w:sz w:val="20"/>
              </w:rPr>
            </w:pPr>
            <w:r w:rsidRPr="00372FE9">
              <w:rPr>
                <w:noProof/>
                <w:sz w:val="20"/>
                <w:lang w:eastAsia="en-AU"/>
              </w:rPr>
              <w:drawing>
                <wp:inline distT="0" distB="0" distL="0" distR="0" wp14:anchorId="1E43A7B8" wp14:editId="2485F1B2">
                  <wp:extent cx="416966" cy="416966"/>
                  <wp:effectExtent l="0" t="0" r="2540" b="2540"/>
                  <wp:docPr id="557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D147A05" w14:textId="77777777" w:rsidR="00666621" w:rsidRPr="00372FE9" w:rsidRDefault="00666621" w:rsidP="0006735B">
            <w:pPr>
              <w:pStyle w:val="TableText"/>
            </w:pPr>
            <w:r w:rsidRPr="00372FE9">
              <w:t>Think and Solve Problems</w:t>
            </w:r>
          </w:p>
        </w:tc>
        <w:tc>
          <w:tcPr>
            <w:tcW w:w="4851" w:type="dxa"/>
          </w:tcPr>
          <w:p w14:paraId="159A0B47" w14:textId="77777777" w:rsidR="00666621" w:rsidRPr="00372FE9" w:rsidRDefault="00666621" w:rsidP="0006735B">
            <w:pPr>
              <w:pStyle w:val="TableText"/>
            </w:pPr>
            <w:r w:rsidRPr="00372FE9">
              <w:t>Think, analyse and consider the broader context to develop practical solutions</w:t>
            </w:r>
          </w:p>
        </w:tc>
        <w:tc>
          <w:tcPr>
            <w:tcW w:w="1668" w:type="dxa"/>
          </w:tcPr>
          <w:p w14:paraId="51AF6734" w14:textId="77777777" w:rsidR="00666621" w:rsidRPr="00372FE9" w:rsidRDefault="00666621" w:rsidP="0006735B">
            <w:pPr>
              <w:pStyle w:val="TableText"/>
            </w:pPr>
            <w:r w:rsidRPr="004C659E">
              <w:t>Adept</w:t>
            </w:r>
          </w:p>
        </w:tc>
      </w:tr>
      <w:tr w:rsidR="00666621" w:rsidRPr="00372FE9" w14:paraId="6EC1FBAC" w14:textId="77777777" w:rsidTr="0006735B">
        <w:trPr>
          <w:cantSplit/>
        </w:trPr>
        <w:tc>
          <w:tcPr>
            <w:tcW w:w="1276" w:type="dxa"/>
          </w:tcPr>
          <w:p w14:paraId="7BD4B556" w14:textId="77777777" w:rsidR="00666621" w:rsidRPr="00372FE9" w:rsidRDefault="00666621" w:rsidP="0006735B">
            <w:pPr>
              <w:rPr>
                <w:sz w:val="20"/>
              </w:rPr>
            </w:pPr>
            <w:r w:rsidRPr="00372FE9">
              <w:rPr>
                <w:noProof/>
                <w:sz w:val="20"/>
                <w:lang w:eastAsia="en-AU"/>
              </w:rPr>
              <w:drawing>
                <wp:inline distT="0" distB="0" distL="0" distR="0" wp14:anchorId="419607D1" wp14:editId="33B6A1B6">
                  <wp:extent cx="416966" cy="416966"/>
                  <wp:effectExtent l="0" t="0" r="2540" b="2540"/>
                  <wp:docPr id="915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A3DA0C6" w14:textId="77777777" w:rsidR="00666621" w:rsidRPr="00372FE9" w:rsidRDefault="00666621" w:rsidP="0006735B">
            <w:pPr>
              <w:pStyle w:val="TableText"/>
            </w:pPr>
            <w:r w:rsidRPr="00372FE9">
              <w:t>Demonstrate Accountability</w:t>
            </w:r>
          </w:p>
        </w:tc>
        <w:tc>
          <w:tcPr>
            <w:tcW w:w="4851" w:type="dxa"/>
          </w:tcPr>
          <w:p w14:paraId="194DA193" w14:textId="77777777" w:rsidR="00666621" w:rsidRPr="00372FE9" w:rsidRDefault="00666621" w:rsidP="0006735B">
            <w:pPr>
              <w:pStyle w:val="TableText"/>
            </w:pPr>
            <w:r w:rsidRPr="00372FE9">
              <w:t>Be proactive and responsible for own actions, and adhere to legislation, policy and guidelines</w:t>
            </w:r>
          </w:p>
        </w:tc>
        <w:tc>
          <w:tcPr>
            <w:tcW w:w="1668" w:type="dxa"/>
          </w:tcPr>
          <w:p w14:paraId="523C4F7B" w14:textId="77777777" w:rsidR="00666621" w:rsidRPr="00372FE9" w:rsidRDefault="00666621" w:rsidP="0006735B">
            <w:pPr>
              <w:pStyle w:val="TableText"/>
            </w:pPr>
            <w:r w:rsidRPr="004C659E">
              <w:t>Advanced</w:t>
            </w:r>
          </w:p>
        </w:tc>
      </w:tr>
      <w:tr w:rsidR="00666621" w:rsidRPr="00372FE9" w14:paraId="6788BDDF" w14:textId="77777777" w:rsidTr="0006735B">
        <w:trPr>
          <w:cantSplit/>
        </w:trPr>
        <w:tc>
          <w:tcPr>
            <w:tcW w:w="1276" w:type="dxa"/>
          </w:tcPr>
          <w:p w14:paraId="22E0D518" w14:textId="77777777" w:rsidR="00666621" w:rsidRPr="00372FE9" w:rsidRDefault="00666621" w:rsidP="0006735B">
            <w:pPr>
              <w:rPr>
                <w:sz w:val="20"/>
              </w:rPr>
            </w:pPr>
            <w:r w:rsidRPr="00372FE9">
              <w:rPr>
                <w:noProof/>
                <w:sz w:val="20"/>
                <w:lang w:eastAsia="en-AU"/>
              </w:rPr>
              <w:drawing>
                <wp:inline distT="0" distB="0" distL="0" distR="0" wp14:anchorId="00669338" wp14:editId="7A2A857C">
                  <wp:extent cx="416966" cy="416966"/>
                  <wp:effectExtent l="0" t="0" r="2540" b="2540"/>
                  <wp:docPr id="752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65BCADE" w14:textId="77777777" w:rsidR="00666621" w:rsidRPr="00372FE9" w:rsidRDefault="00666621" w:rsidP="0006735B">
            <w:pPr>
              <w:pStyle w:val="TableText"/>
            </w:pPr>
            <w:r w:rsidRPr="00372FE9">
              <w:t>Finance</w:t>
            </w:r>
          </w:p>
        </w:tc>
        <w:tc>
          <w:tcPr>
            <w:tcW w:w="4851" w:type="dxa"/>
          </w:tcPr>
          <w:p w14:paraId="2A8275A0" w14:textId="77777777" w:rsidR="00666621" w:rsidRPr="00372FE9" w:rsidRDefault="00666621" w:rsidP="0006735B">
            <w:pPr>
              <w:pStyle w:val="TableText"/>
            </w:pPr>
            <w:r w:rsidRPr="00372FE9">
              <w:t>Understand and apply financial processes to achieve value for money and minimise financial risk</w:t>
            </w:r>
          </w:p>
        </w:tc>
        <w:tc>
          <w:tcPr>
            <w:tcW w:w="1668" w:type="dxa"/>
          </w:tcPr>
          <w:p w14:paraId="69E73FD5" w14:textId="77777777" w:rsidR="00666621" w:rsidRPr="00372FE9" w:rsidRDefault="00666621" w:rsidP="0006735B">
            <w:pPr>
              <w:pStyle w:val="TableText"/>
            </w:pPr>
            <w:r w:rsidRPr="004C659E">
              <w:t>Adept</w:t>
            </w:r>
          </w:p>
        </w:tc>
      </w:tr>
      <w:tr w:rsidR="00666621" w:rsidRPr="00372FE9" w14:paraId="5BEA58CF" w14:textId="77777777" w:rsidTr="0006735B">
        <w:trPr>
          <w:cantSplit/>
        </w:trPr>
        <w:tc>
          <w:tcPr>
            <w:tcW w:w="1276" w:type="dxa"/>
          </w:tcPr>
          <w:p w14:paraId="03E8F8A5" w14:textId="77777777" w:rsidR="00666621" w:rsidRPr="00372FE9" w:rsidRDefault="00666621" w:rsidP="0006735B">
            <w:pPr>
              <w:rPr>
                <w:sz w:val="20"/>
              </w:rPr>
            </w:pPr>
            <w:r w:rsidRPr="00372FE9">
              <w:rPr>
                <w:noProof/>
                <w:sz w:val="20"/>
                <w:lang w:eastAsia="en-AU"/>
              </w:rPr>
              <w:drawing>
                <wp:inline distT="0" distB="0" distL="0" distR="0" wp14:anchorId="4C4FE474" wp14:editId="2FFC087D">
                  <wp:extent cx="416966" cy="416966"/>
                  <wp:effectExtent l="0" t="0" r="2540" b="2540"/>
                  <wp:docPr id="111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B97833F" w14:textId="77777777" w:rsidR="00666621" w:rsidRPr="00372FE9" w:rsidRDefault="00666621" w:rsidP="0006735B">
            <w:pPr>
              <w:pStyle w:val="TableText"/>
            </w:pPr>
            <w:r w:rsidRPr="00372FE9">
              <w:t>Procurement and Contract Management</w:t>
            </w:r>
          </w:p>
        </w:tc>
        <w:tc>
          <w:tcPr>
            <w:tcW w:w="4851" w:type="dxa"/>
          </w:tcPr>
          <w:p w14:paraId="1E92CF4C" w14:textId="77777777" w:rsidR="00666621" w:rsidRPr="00372FE9" w:rsidRDefault="00666621" w:rsidP="0006735B">
            <w:pPr>
              <w:pStyle w:val="TableText"/>
            </w:pPr>
            <w:r w:rsidRPr="00372FE9">
              <w:t>Understand and apply procurement processes to ensure effective purchasing and contract performance</w:t>
            </w:r>
          </w:p>
        </w:tc>
        <w:tc>
          <w:tcPr>
            <w:tcW w:w="1668" w:type="dxa"/>
          </w:tcPr>
          <w:p w14:paraId="01274E0F" w14:textId="77777777" w:rsidR="00666621" w:rsidRPr="00372FE9" w:rsidRDefault="00666621" w:rsidP="0006735B">
            <w:pPr>
              <w:pStyle w:val="TableText"/>
            </w:pPr>
            <w:r w:rsidRPr="004C659E">
              <w:t>Intermediate</w:t>
            </w:r>
          </w:p>
        </w:tc>
      </w:tr>
      <w:tr w:rsidR="00666621" w:rsidRPr="00372FE9" w14:paraId="2E30DB9B" w14:textId="77777777" w:rsidTr="0006735B">
        <w:trPr>
          <w:cantSplit/>
        </w:trPr>
        <w:tc>
          <w:tcPr>
            <w:tcW w:w="1276" w:type="dxa"/>
          </w:tcPr>
          <w:p w14:paraId="485DE25A" w14:textId="77777777" w:rsidR="00666621" w:rsidRPr="00372FE9" w:rsidRDefault="00666621" w:rsidP="0006735B">
            <w:pPr>
              <w:rPr>
                <w:sz w:val="20"/>
              </w:rPr>
            </w:pPr>
            <w:r w:rsidRPr="00372FE9">
              <w:rPr>
                <w:noProof/>
                <w:sz w:val="20"/>
                <w:lang w:eastAsia="en-AU"/>
              </w:rPr>
              <w:drawing>
                <wp:inline distT="0" distB="0" distL="0" distR="0" wp14:anchorId="72DE6EC9" wp14:editId="5A4D0AE1">
                  <wp:extent cx="416966" cy="416966"/>
                  <wp:effectExtent l="0" t="0" r="2540" b="2540"/>
                  <wp:docPr id="947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4C1843D" w14:textId="77777777" w:rsidR="00666621" w:rsidRPr="00372FE9" w:rsidRDefault="00666621" w:rsidP="0006735B">
            <w:pPr>
              <w:pStyle w:val="TableText"/>
            </w:pPr>
            <w:r w:rsidRPr="00372FE9">
              <w:t>Project Management</w:t>
            </w:r>
          </w:p>
        </w:tc>
        <w:tc>
          <w:tcPr>
            <w:tcW w:w="4851" w:type="dxa"/>
          </w:tcPr>
          <w:p w14:paraId="1EFB076E" w14:textId="77777777" w:rsidR="00666621" w:rsidRPr="00372FE9" w:rsidRDefault="00666621" w:rsidP="0006735B">
            <w:pPr>
              <w:pStyle w:val="TableText"/>
            </w:pPr>
            <w:r w:rsidRPr="00372FE9">
              <w:t>Understand and apply effective planning, coordination and control methods</w:t>
            </w:r>
          </w:p>
        </w:tc>
        <w:tc>
          <w:tcPr>
            <w:tcW w:w="1668" w:type="dxa"/>
          </w:tcPr>
          <w:p w14:paraId="1F58D6B0" w14:textId="77777777" w:rsidR="00666621" w:rsidRPr="00372FE9" w:rsidRDefault="00666621" w:rsidP="0006735B">
            <w:pPr>
              <w:pStyle w:val="TableText"/>
            </w:pPr>
            <w:r w:rsidRPr="004C659E">
              <w:t>Intermediate</w:t>
            </w:r>
          </w:p>
        </w:tc>
      </w:tr>
    </w:tbl>
    <w:p w14:paraId="0706A106" w14:textId="77777777" w:rsidR="00666621" w:rsidRDefault="00666621" w:rsidP="001203EE">
      <w:pPr>
        <w:contextualSpacing/>
      </w:pPr>
    </w:p>
    <w:p w14:paraId="52DC5FAB" w14:textId="77777777" w:rsidR="00666621" w:rsidRDefault="00666621" w:rsidP="00666621">
      <w:pPr>
        <w:pStyle w:val="Heading2"/>
      </w:pPr>
      <w:r w:rsidRPr="00AF4777">
        <w:t>Occupational Specific</w:t>
      </w:r>
      <w:r>
        <w:t xml:space="preserve"> Complimentary</w:t>
      </w:r>
      <w:r w:rsidRPr="00AF4777">
        <w:t xml:space="preserve"> Capabilities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OccupationalSpecificComplimentaryCapabilitiesTable"/>
      </w:tblPr>
      <w:tblGrid>
        <w:gridCol w:w="1464"/>
        <w:gridCol w:w="2852"/>
        <w:gridCol w:w="4901"/>
        <w:gridCol w:w="1271"/>
      </w:tblGrid>
      <w:tr w:rsidR="00666621" w:rsidRPr="00372FE9" w14:paraId="17D60ED8" w14:textId="77777777" w:rsidTr="00666621">
        <w:trPr>
          <w:cnfStyle w:val="100000000000" w:firstRow="1" w:lastRow="0" w:firstColumn="0" w:lastColumn="0" w:oddVBand="0" w:evenVBand="0" w:oddHBand="0" w:evenHBand="0" w:firstRowFirstColumn="0" w:firstRowLastColumn="0" w:lastRowFirstColumn="0" w:lastRowLastColumn="0"/>
          <w:tblHeader/>
        </w:trPr>
        <w:tc>
          <w:tcPr>
            <w:tcW w:w="1464" w:type="dxa"/>
            <w:shd w:val="clear" w:color="auto" w:fill="BFBFBF" w:themeFill="background1" w:themeFillShade="BF"/>
            <w:vAlign w:val="center"/>
          </w:tcPr>
          <w:p w14:paraId="6B4F0281" w14:textId="77777777" w:rsidR="00666621" w:rsidRPr="00372FE9" w:rsidRDefault="00666621" w:rsidP="0006735B">
            <w:pPr>
              <w:rPr>
                <w:sz w:val="20"/>
              </w:rPr>
            </w:pPr>
            <w:r w:rsidRPr="00372FE9">
              <w:rPr>
                <w:b/>
                <w:sz w:val="20"/>
              </w:rPr>
              <w:t>Capability group/sets</w:t>
            </w:r>
          </w:p>
        </w:tc>
        <w:tc>
          <w:tcPr>
            <w:tcW w:w="2852" w:type="dxa"/>
            <w:shd w:val="clear" w:color="auto" w:fill="BFBFBF" w:themeFill="background1" w:themeFillShade="BF"/>
          </w:tcPr>
          <w:p w14:paraId="511FF178" w14:textId="77777777" w:rsidR="00666621" w:rsidRPr="00372FE9" w:rsidRDefault="00666621" w:rsidP="0006735B">
            <w:pPr>
              <w:rPr>
                <w:sz w:val="20"/>
              </w:rPr>
            </w:pPr>
            <w:r w:rsidRPr="00372FE9">
              <w:rPr>
                <w:b/>
                <w:sz w:val="20"/>
              </w:rPr>
              <w:t>Capability name</w:t>
            </w:r>
          </w:p>
        </w:tc>
        <w:tc>
          <w:tcPr>
            <w:tcW w:w="4901" w:type="dxa"/>
            <w:shd w:val="clear" w:color="auto" w:fill="BFBFBF" w:themeFill="background1" w:themeFillShade="BF"/>
          </w:tcPr>
          <w:p w14:paraId="517F63EE" w14:textId="77777777" w:rsidR="00666621" w:rsidRPr="00372FE9" w:rsidRDefault="00666621" w:rsidP="0006735B">
            <w:pPr>
              <w:rPr>
                <w:sz w:val="20"/>
              </w:rPr>
            </w:pPr>
            <w:r w:rsidRPr="00372FE9">
              <w:rPr>
                <w:b/>
                <w:sz w:val="20"/>
              </w:rPr>
              <w:t>Description</w:t>
            </w:r>
          </w:p>
        </w:tc>
        <w:tc>
          <w:tcPr>
            <w:tcW w:w="1271" w:type="dxa"/>
            <w:shd w:val="clear" w:color="auto" w:fill="BFBFBF" w:themeFill="background1" w:themeFillShade="BF"/>
          </w:tcPr>
          <w:p w14:paraId="1F298B69" w14:textId="77777777" w:rsidR="00666621" w:rsidRPr="00372FE9" w:rsidRDefault="00666621" w:rsidP="0006735B">
            <w:pPr>
              <w:rPr>
                <w:b/>
                <w:bCs/>
                <w:sz w:val="20"/>
              </w:rPr>
            </w:pPr>
            <w:r w:rsidRPr="00372FE9">
              <w:rPr>
                <w:b/>
                <w:bCs/>
                <w:sz w:val="20"/>
              </w:rPr>
              <w:t>Level</w:t>
            </w:r>
          </w:p>
        </w:tc>
      </w:tr>
      <w:tr w:rsidR="00666621" w:rsidRPr="00372FE9" w14:paraId="5F7FA8EA" w14:textId="77777777" w:rsidTr="0006735B">
        <w:trPr>
          <w:cantSplit/>
        </w:trPr>
        <w:tc>
          <w:tcPr>
            <w:tcW w:w="1464" w:type="dxa"/>
          </w:tcPr>
          <w:p w14:paraId="6DC5975D" w14:textId="77777777" w:rsidR="00666621" w:rsidRPr="00C978B9" w:rsidRDefault="00666621" w:rsidP="0006735B">
            <w:pPr>
              <w:rPr>
                <w:noProof/>
                <w:lang w:eastAsia="en-AU"/>
              </w:rPr>
            </w:pPr>
            <w:r w:rsidRPr="00C978B9">
              <w:rPr>
                <w:noProof/>
                <w:lang w:eastAsia="en-AU"/>
              </w:rPr>
              <w:drawing>
                <wp:inline distT="0" distB="0" distL="0" distR="0" wp14:anchorId="25E54509" wp14:editId="67962A2E">
                  <wp:extent cx="838200" cy="838200"/>
                  <wp:effectExtent l="0" t="0" r="0" b="0"/>
                  <wp:docPr id="2"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nance-professionals-capability-set.jpg" descr="Finance log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52" w:type="dxa"/>
          </w:tcPr>
          <w:p w14:paraId="504CC897" w14:textId="77777777" w:rsidR="00666621" w:rsidRPr="00D41FC4" w:rsidRDefault="00666621" w:rsidP="0006735B">
            <w:pPr>
              <w:rPr>
                <w:sz w:val="20"/>
              </w:rPr>
            </w:pPr>
            <w:r w:rsidRPr="00D41FC4">
              <w:rPr>
                <w:sz w:val="20"/>
              </w:rPr>
              <w:t>Strategy and architecture / Strategy and planning / Emerging technology monitoring (EMRG)</w:t>
            </w:r>
          </w:p>
        </w:tc>
        <w:tc>
          <w:tcPr>
            <w:tcW w:w="4901" w:type="dxa"/>
          </w:tcPr>
          <w:p w14:paraId="2CB821CC" w14:textId="77777777" w:rsidR="00666621" w:rsidRPr="00893C31" w:rsidRDefault="00666621" w:rsidP="0006735B">
            <w:pPr>
              <w:numPr>
                <w:ilvl w:val="0"/>
                <w:numId w:val="1"/>
              </w:numPr>
              <w:tabs>
                <w:tab w:val="clear" w:pos="360"/>
              </w:tabs>
              <w:rPr>
                <w:sz w:val="20"/>
              </w:rPr>
            </w:pPr>
            <w:r w:rsidRPr="00893C31">
              <w:rPr>
                <w:sz w:val="20"/>
              </w:rPr>
              <w:t>Plans and leads the identification and assessment of emerging technologies and the evaluation of potential impacts, threats and opportunities.</w:t>
            </w:r>
          </w:p>
          <w:p w14:paraId="2EF559E4" w14:textId="77777777" w:rsidR="00666621" w:rsidRPr="00893C31" w:rsidRDefault="00666621" w:rsidP="0006735B">
            <w:pPr>
              <w:numPr>
                <w:ilvl w:val="0"/>
                <w:numId w:val="1"/>
              </w:numPr>
              <w:tabs>
                <w:tab w:val="clear" w:pos="360"/>
              </w:tabs>
              <w:rPr>
                <w:sz w:val="20"/>
              </w:rPr>
            </w:pPr>
            <w:r w:rsidRPr="00893C31">
              <w:rPr>
                <w:sz w:val="20"/>
              </w:rPr>
              <w:t>Creates technology roadmaps that align organisational plans with emerging technology solutions. Engages with, and influences, relevant stakeholders to obtain organisational commitment to technology roadmaps.</w:t>
            </w:r>
          </w:p>
          <w:p w14:paraId="15863DF2" w14:textId="77777777" w:rsidR="00666621" w:rsidRPr="00893C31" w:rsidRDefault="00666621" w:rsidP="0006735B">
            <w:pPr>
              <w:numPr>
                <w:ilvl w:val="0"/>
                <w:numId w:val="1"/>
              </w:numPr>
              <w:tabs>
                <w:tab w:val="clear" w:pos="360"/>
              </w:tabs>
              <w:rPr>
                <w:sz w:val="20"/>
              </w:rPr>
            </w:pPr>
            <w:r w:rsidRPr="00893C31">
              <w:rPr>
                <w:sz w:val="20"/>
              </w:rPr>
              <w:t>Develops organisational guidelines for monitoring emerging technologies.</w:t>
            </w:r>
          </w:p>
          <w:p w14:paraId="5A0336A4" w14:textId="77777777" w:rsidR="00666621" w:rsidRPr="00D41FC4" w:rsidRDefault="00666621" w:rsidP="0006735B">
            <w:pPr>
              <w:numPr>
                <w:ilvl w:val="0"/>
                <w:numId w:val="1"/>
              </w:numPr>
              <w:tabs>
                <w:tab w:val="clear" w:pos="360"/>
              </w:tabs>
              <w:rPr>
                <w:sz w:val="20"/>
              </w:rPr>
            </w:pPr>
            <w:r w:rsidRPr="00893C31">
              <w:rPr>
                <w:sz w:val="20"/>
              </w:rPr>
              <w:t>Collaborates with internal and external parties to facilitate intelligence gathering.</w:t>
            </w:r>
          </w:p>
        </w:tc>
        <w:tc>
          <w:tcPr>
            <w:tcW w:w="1271" w:type="dxa"/>
          </w:tcPr>
          <w:p w14:paraId="48542797" w14:textId="77777777" w:rsidR="00666621" w:rsidRPr="00D41FC4" w:rsidRDefault="00666621" w:rsidP="0006735B">
            <w:pPr>
              <w:rPr>
                <w:sz w:val="20"/>
              </w:rPr>
            </w:pPr>
            <w:r w:rsidRPr="00D41FC4">
              <w:rPr>
                <w:sz w:val="20"/>
              </w:rPr>
              <w:t>Level 6</w:t>
            </w:r>
          </w:p>
        </w:tc>
      </w:tr>
      <w:tr w:rsidR="00666621" w:rsidRPr="00372FE9" w14:paraId="719CC2AC" w14:textId="77777777" w:rsidTr="0006735B">
        <w:trPr>
          <w:cantSplit/>
        </w:trPr>
        <w:tc>
          <w:tcPr>
            <w:tcW w:w="1464" w:type="dxa"/>
          </w:tcPr>
          <w:p w14:paraId="3F8009C6" w14:textId="77777777" w:rsidR="00666621" w:rsidRPr="00C978B9" w:rsidRDefault="00666621" w:rsidP="0006735B">
            <w:pPr>
              <w:rPr>
                <w:noProof/>
                <w:lang w:eastAsia="en-AU"/>
              </w:rPr>
            </w:pPr>
            <w:r w:rsidRPr="00C978B9">
              <w:rPr>
                <w:noProof/>
                <w:lang w:eastAsia="en-AU"/>
              </w:rPr>
              <w:lastRenderedPageBreak/>
              <w:drawing>
                <wp:inline distT="0" distB="0" distL="0" distR="0" wp14:anchorId="06DD2498" wp14:editId="6CD194B0">
                  <wp:extent cx="838200" cy="838200"/>
                  <wp:effectExtent l="0" t="0" r="0" b="0"/>
                  <wp:docPr id="4"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nance-professionals-capability-set.jpg" descr="Finance log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52" w:type="dxa"/>
          </w:tcPr>
          <w:p w14:paraId="2E03D8EE" w14:textId="77777777" w:rsidR="00666621" w:rsidRPr="00D41FC4" w:rsidRDefault="00666621" w:rsidP="0006735B">
            <w:pPr>
              <w:rPr>
                <w:sz w:val="20"/>
              </w:rPr>
            </w:pPr>
            <w:r w:rsidRPr="00D41FC4">
              <w:rPr>
                <w:sz w:val="20"/>
              </w:rPr>
              <w:t>Strategy and architecture / Strategy and planning / Strategic planning (ITSP)</w:t>
            </w:r>
          </w:p>
        </w:tc>
        <w:tc>
          <w:tcPr>
            <w:tcW w:w="4901" w:type="dxa"/>
          </w:tcPr>
          <w:p w14:paraId="64A600CB" w14:textId="77777777" w:rsidR="00666621" w:rsidRPr="00893C31" w:rsidRDefault="00666621" w:rsidP="0006735B">
            <w:pPr>
              <w:numPr>
                <w:ilvl w:val="0"/>
                <w:numId w:val="1"/>
              </w:numPr>
              <w:tabs>
                <w:tab w:val="clear" w:pos="360"/>
              </w:tabs>
              <w:rPr>
                <w:sz w:val="20"/>
              </w:rPr>
            </w:pPr>
            <w:r w:rsidRPr="00893C31">
              <w:rPr>
                <w:sz w:val="20"/>
              </w:rPr>
              <w:t>Collates information and creates reports and insights to support strategy management processes.</w:t>
            </w:r>
          </w:p>
          <w:p w14:paraId="4F795FE2" w14:textId="77777777" w:rsidR="00666621" w:rsidRPr="00893C31" w:rsidRDefault="00666621" w:rsidP="0006735B">
            <w:pPr>
              <w:numPr>
                <w:ilvl w:val="0"/>
                <w:numId w:val="1"/>
              </w:numPr>
              <w:tabs>
                <w:tab w:val="clear" w:pos="360"/>
              </w:tabs>
              <w:rPr>
                <w:sz w:val="20"/>
              </w:rPr>
            </w:pPr>
            <w:r w:rsidRPr="00893C31">
              <w:rPr>
                <w:sz w:val="20"/>
              </w:rPr>
              <w:t>Ensures that all stakeholders are aware of the strategic management approach and timetables. Provides support and guidance to help stakeholders adhere to the approach.</w:t>
            </w:r>
          </w:p>
          <w:p w14:paraId="7E604FC4" w14:textId="77777777" w:rsidR="00666621" w:rsidRPr="00893C31" w:rsidRDefault="00666621" w:rsidP="0006735B">
            <w:pPr>
              <w:numPr>
                <w:ilvl w:val="0"/>
                <w:numId w:val="1"/>
              </w:numPr>
              <w:tabs>
                <w:tab w:val="clear" w:pos="360"/>
              </w:tabs>
              <w:rPr>
                <w:sz w:val="20"/>
              </w:rPr>
            </w:pPr>
            <w:r w:rsidRPr="00893C31">
              <w:rPr>
                <w:sz w:val="20"/>
              </w:rPr>
              <w:t>Develops and communicates plans to drive forward the strategy and related change planning.</w:t>
            </w:r>
          </w:p>
          <w:p w14:paraId="4FE11D45" w14:textId="77777777" w:rsidR="00666621" w:rsidRPr="00D41FC4" w:rsidRDefault="00666621" w:rsidP="0006735B">
            <w:pPr>
              <w:numPr>
                <w:ilvl w:val="0"/>
                <w:numId w:val="1"/>
              </w:numPr>
              <w:tabs>
                <w:tab w:val="clear" w:pos="360"/>
              </w:tabs>
              <w:rPr>
                <w:sz w:val="20"/>
              </w:rPr>
            </w:pPr>
            <w:r w:rsidRPr="00893C31">
              <w:rPr>
                <w:sz w:val="20"/>
              </w:rPr>
              <w:t>Contributes to the development of policies, standards and guidelines for strategy development and planning.</w:t>
            </w:r>
          </w:p>
        </w:tc>
        <w:tc>
          <w:tcPr>
            <w:tcW w:w="1271" w:type="dxa"/>
          </w:tcPr>
          <w:p w14:paraId="0A2CBEB4" w14:textId="77777777" w:rsidR="00666621" w:rsidRPr="00D41FC4" w:rsidRDefault="00666621" w:rsidP="0006735B">
            <w:pPr>
              <w:rPr>
                <w:sz w:val="20"/>
              </w:rPr>
            </w:pPr>
            <w:r w:rsidRPr="00D41FC4">
              <w:rPr>
                <w:sz w:val="20"/>
              </w:rPr>
              <w:t>Level 5</w:t>
            </w:r>
          </w:p>
        </w:tc>
      </w:tr>
    </w:tbl>
    <w:p w14:paraId="6F857425" w14:textId="77777777" w:rsidR="00666621" w:rsidRDefault="00666621" w:rsidP="001203EE">
      <w:pPr>
        <w:contextualSpacing/>
      </w:pPr>
    </w:p>
    <w:sectPr w:rsidR="00666621" w:rsidSect="00115AF2">
      <w:footerReference w:type="default" r:id="rId18"/>
      <w:footerReference w:type="first" r:id="rId19"/>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4C53F" w14:textId="77777777" w:rsidR="00BD0175" w:rsidRDefault="00BD0175" w:rsidP="00AC273D">
      <w:pPr>
        <w:spacing w:after="0"/>
      </w:pPr>
      <w:r>
        <w:separator/>
      </w:r>
    </w:p>
  </w:endnote>
  <w:endnote w:type="continuationSeparator" w:id="0">
    <w:p w14:paraId="5BC9B96F" w14:textId="77777777" w:rsidR="00BD0175" w:rsidRDefault="00BD0175"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72D5A" w14:textId="5B540C3F"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 xml:space="preserve">Principal </w:t>
    </w:r>
    <w:r w:rsidR="00240719" w:rsidRPr="00F20050">
      <w:rPr>
        <w:color w:val="262626" w:themeColor="text1" w:themeTint="D9"/>
      </w:rPr>
      <w:t>S</w:t>
    </w:r>
    <w:r w:rsidR="00240719">
      <w:rPr>
        <w:color w:val="262626" w:themeColor="text1" w:themeTint="D9"/>
      </w:rPr>
      <w:t>alesforce</w:t>
    </w:r>
    <w:r w:rsidR="00240719" w:rsidRPr="00F20050">
      <w:rPr>
        <w:color w:val="262626" w:themeColor="text1" w:themeTint="D9"/>
      </w:rPr>
      <w:t xml:space="preserve"> </w:t>
    </w:r>
    <w:r w:rsidR="009E4A5D" w:rsidRPr="00F20050">
      <w:rPr>
        <w:color w:val="262626" w:themeColor="text1" w:themeTint="D9"/>
      </w:rPr>
      <w:t>Architect</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22329263" wp14:editId="092699BD">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56D3D213" w14:textId="77777777" w:rsidR="00A90F97" w:rsidRPr="001E2B26" w:rsidRDefault="00A90F97" w:rsidP="00051237">
    <w:pPr>
      <w:pStyle w:val="Footer"/>
      <w:rPr>
        <w:sz w:val="12"/>
        <w:szCs w:val="12"/>
      </w:rPr>
    </w:pPr>
  </w:p>
  <w:p w14:paraId="172F10D3"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A1EC0"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2C0A91A7"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28E49CDC" wp14:editId="65627C69">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2C828EB5"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36816" w14:textId="77777777" w:rsidR="00BD0175" w:rsidRDefault="00BD0175" w:rsidP="00AC273D">
      <w:pPr>
        <w:spacing w:after="0"/>
      </w:pPr>
      <w:r>
        <w:separator/>
      </w:r>
    </w:p>
  </w:footnote>
  <w:footnote w:type="continuationSeparator" w:id="0">
    <w:p w14:paraId="0AC35FE4" w14:textId="77777777" w:rsidR="00BD0175" w:rsidRDefault="00BD0175"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1AB8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66A018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0A65A16"/>
    <w:multiLevelType w:val="hybridMultilevel"/>
    <w:tmpl w:val="7194D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84EE1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E35D0D"/>
    <w:multiLevelType w:val="hybridMultilevel"/>
    <w:tmpl w:val="0352DD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5878115">
    <w:abstractNumId w:val="10"/>
  </w:num>
  <w:num w:numId="2" w16cid:durableId="149172923">
    <w:abstractNumId w:val="8"/>
  </w:num>
  <w:num w:numId="3" w16cid:durableId="858273372">
    <w:abstractNumId w:val="7"/>
  </w:num>
  <w:num w:numId="4" w16cid:durableId="1890147350">
    <w:abstractNumId w:val="6"/>
  </w:num>
  <w:num w:numId="5" w16cid:durableId="747115709">
    <w:abstractNumId w:val="5"/>
  </w:num>
  <w:num w:numId="6" w16cid:durableId="1225607120">
    <w:abstractNumId w:val="9"/>
  </w:num>
  <w:num w:numId="7" w16cid:durableId="447942072">
    <w:abstractNumId w:val="4"/>
  </w:num>
  <w:num w:numId="8" w16cid:durableId="316300404">
    <w:abstractNumId w:val="3"/>
  </w:num>
  <w:num w:numId="9" w16cid:durableId="1714571197">
    <w:abstractNumId w:val="2"/>
  </w:num>
  <w:num w:numId="10" w16cid:durableId="2103186192">
    <w:abstractNumId w:val="1"/>
  </w:num>
  <w:num w:numId="11" w16cid:durableId="1305966639">
    <w:abstractNumId w:val="17"/>
  </w:num>
  <w:num w:numId="12" w16cid:durableId="1260793774">
    <w:abstractNumId w:val="15"/>
  </w:num>
  <w:num w:numId="13" w16cid:durableId="1165320277">
    <w:abstractNumId w:val="12"/>
  </w:num>
  <w:num w:numId="14" w16cid:durableId="1063871504">
    <w:abstractNumId w:val="11"/>
  </w:num>
  <w:num w:numId="15" w16cid:durableId="1421025725">
    <w:abstractNumId w:val="10"/>
  </w:num>
  <w:num w:numId="16" w16cid:durableId="886264076">
    <w:abstractNumId w:val="13"/>
  </w:num>
  <w:num w:numId="17" w16cid:durableId="1765227317">
    <w:abstractNumId w:val="14"/>
  </w:num>
  <w:num w:numId="18" w16cid:durableId="818965090">
    <w:abstractNumId w:val="0"/>
  </w:num>
  <w:num w:numId="19" w16cid:durableId="1213300181">
    <w:abstractNumId w:val="10"/>
  </w:num>
  <w:num w:numId="20" w16cid:durableId="673071600">
    <w:abstractNumId w:val="10"/>
  </w:num>
  <w:num w:numId="21" w16cid:durableId="118936700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2E6B"/>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334"/>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29C"/>
    <w:rsid w:val="001D73CA"/>
    <w:rsid w:val="001E0F3B"/>
    <w:rsid w:val="001E0FC8"/>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0719"/>
    <w:rsid w:val="00246BFC"/>
    <w:rsid w:val="00252BF9"/>
    <w:rsid w:val="00271FAE"/>
    <w:rsid w:val="00273008"/>
    <w:rsid w:val="0027338E"/>
    <w:rsid w:val="002735A9"/>
    <w:rsid w:val="0028049D"/>
    <w:rsid w:val="00280676"/>
    <w:rsid w:val="00284FE6"/>
    <w:rsid w:val="00285EA6"/>
    <w:rsid w:val="00285EF8"/>
    <w:rsid w:val="002863B5"/>
    <w:rsid w:val="00286B47"/>
    <w:rsid w:val="002872F7"/>
    <w:rsid w:val="002901B8"/>
    <w:rsid w:val="00294E56"/>
    <w:rsid w:val="00297CDF"/>
    <w:rsid w:val="002A0BDA"/>
    <w:rsid w:val="002A18A8"/>
    <w:rsid w:val="002A41AA"/>
    <w:rsid w:val="002A60C2"/>
    <w:rsid w:val="002A6430"/>
    <w:rsid w:val="002B0616"/>
    <w:rsid w:val="002B27D4"/>
    <w:rsid w:val="002B47B4"/>
    <w:rsid w:val="002C458A"/>
    <w:rsid w:val="002D0251"/>
    <w:rsid w:val="002D4902"/>
    <w:rsid w:val="002D4927"/>
    <w:rsid w:val="002D4DE0"/>
    <w:rsid w:val="002D6639"/>
    <w:rsid w:val="002D7840"/>
    <w:rsid w:val="002E09D3"/>
    <w:rsid w:val="002E11BF"/>
    <w:rsid w:val="002E1E69"/>
    <w:rsid w:val="002E3146"/>
    <w:rsid w:val="002F07BE"/>
    <w:rsid w:val="002F129F"/>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61E4"/>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2773"/>
    <w:rsid w:val="003A342B"/>
    <w:rsid w:val="003A3E82"/>
    <w:rsid w:val="003A5831"/>
    <w:rsid w:val="003A6152"/>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1FAC"/>
    <w:rsid w:val="003D2DDC"/>
    <w:rsid w:val="003D37DB"/>
    <w:rsid w:val="003D44C2"/>
    <w:rsid w:val="003D603C"/>
    <w:rsid w:val="003D77D3"/>
    <w:rsid w:val="003E0111"/>
    <w:rsid w:val="003E32F3"/>
    <w:rsid w:val="003E55F7"/>
    <w:rsid w:val="003E5AD6"/>
    <w:rsid w:val="003F0B30"/>
    <w:rsid w:val="003F22BD"/>
    <w:rsid w:val="003F2E7D"/>
    <w:rsid w:val="003F58FA"/>
    <w:rsid w:val="003F667E"/>
    <w:rsid w:val="003F6DA8"/>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286E"/>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3E65"/>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11F"/>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621"/>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B6669"/>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3F9"/>
    <w:rsid w:val="007265DF"/>
    <w:rsid w:val="00731754"/>
    <w:rsid w:val="00732229"/>
    <w:rsid w:val="00732498"/>
    <w:rsid w:val="00732D8A"/>
    <w:rsid w:val="00733D92"/>
    <w:rsid w:val="007351FF"/>
    <w:rsid w:val="00735790"/>
    <w:rsid w:val="00735B24"/>
    <w:rsid w:val="00741726"/>
    <w:rsid w:val="0075022B"/>
    <w:rsid w:val="00751C97"/>
    <w:rsid w:val="007524D7"/>
    <w:rsid w:val="00753279"/>
    <w:rsid w:val="00753C8C"/>
    <w:rsid w:val="00754862"/>
    <w:rsid w:val="00754A7A"/>
    <w:rsid w:val="00755854"/>
    <w:rsid w:val="00760115"/>
    <w:rsid w:val="0076011C"/>
    <w:rsid w:val="0076331C"/>
    <w:rsid w:val="00765CA4"/>
    <w:rsid w:val="00766A1C"/>
    <w:rsid w:val="00766C18"/>
    <w:rsid w:val="00773F15"/>
    <w:rsid w:val="007804AD"/>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3C31"/>
    <w:rsid w:val="0089412A"/>
    <w:rsid w:val="008978C5"/>
    <w:rsid w:val="008A043A"/>
    <w:rsid w:val="008A084B"/>
    <w:rsid w:val="008A09CE"/>
    <w:rsid w:val="008A33F0"/>
    <w:rsid w:val="008A4AA4"/>
    <w:rsid w:val="008A5136"/>
    <w:rsid w:val="008A71F5"/>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775"/>
    <w:rsid w:val="008E6C44"/>
    <w:rsid w:val="008F0E0C"/>
    <w:rsid w:val="008F12FD"/>
    <w:rsid w:val="008F52FC"/>
    <w:rsid w:val="00901B0A"/>
    <w:rsid w:val="00911600"/>
    <w:rsid w:val="0091160E"/>
    <w:rsid w:val="00911D8D"/>
    <w:rsid w:val="00913641"/>
    <w:rsid w:val="00913836"/>
    <w:rsid w:val="00914D86"/>
    <w:rsid w:val="0092000E"/>
    <w:rsid w:val="009210BA"/>
    <w:rsid w:val="0092418B"/>
    <w:rsid w:val="009258CF"/>
    <w:rsid w:val="00925A2F"/>
    <w:rsid w:val="00927549"/>
    <w:rsid w:val="00927BEC"/>
    <w:rsid w:val="00930255"/>
    <w:rsid w:val="009302D1"/>
    <w:rsid w:val="00930BFE"/>
    <w:rsid w:val="00931E80"/>
    <w:rsid w:val="00933039"/>
    <w:rsid w:val="0093429D"/>
    <w:rsid w:val="00945108"/>
    <w:rsid w:val="00945B34"/>
    <w:rsid w:val="00945CBA"/>
    <w:rsid w:val="00951702"/>
    <w:rsid w:val="009518FF"/>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41E5"/>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07E4"/>
    <w:rsid w:val="00A120AB"/>
    <w:rsid w:val="00A122B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29A7"/>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934"/>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53"/>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B5296"/>
    <w:rsid w:val="00BC3F78"/>
    <w:rsid w:val="00BC4188"/>
    <w:rsid w:val="00BC543C"/>
    <w:rsid w:val="00BC78A9"/>
    <w:rsid w:val="00BD0175"/>
    <w:rsid w:val="00BD1219"/>
    <w:rsid w:val="00BD4313"/>
    <w:rsid w:val="00BD7587"/>
    <w:rsid w:val="00BD79F4"/>
    <w:rsid w:val="00BE57E8"/>
    <w:rsid w:val="00BF0A1B"/>
    <w:rsid w:val="00BF0F06"/>
    <w:rsid w:val="00BF3DFD"/>
    <w:rsid w:val="00BF4984"/>
    <w:rsid w:val="00BF5AC8"/>
    <w:rsid w:val="00C002B4"/>
    <w:rsid w:val="00C01FA7"/>
    <w:rsid w:val="00C026B0"/>
    <w:rsid w:val="00C041AA"/>
    <w:rsid w:val="00C04A88"/>
    <w:rsid w:val="00C05BC9"/>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983"/>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41FC4"/>
    <w:rsid w:val="00D50088"/>
    <w:rsid w:val="00D57BD0"/>
    <w:rsid w:val="00D60597"/>
    <w:rsid w:val="00D6122E"/>
    <w:rsid w:val="00D623CB"/>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DF7B65"/>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6D5E"/>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65B"/>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BCFF3"/>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paragraph" w:styleId="Revision">
    <w:name w:val="Revision"/>
    <w:hidden/>
    <w:uiPriority w:val="99"/>
    <w:semiHidden/>
    <w:rsid w:val="009C41E5"/>
    <w:pPr>
      <w:spacing w:after="0"/>
    </w:pPr>
    <w:rPr>
      <w:rFonts w:ascii="Arial" w:hAnsi="Arial"/>
      <w:sz w:val="22"/>
    </w:rPr>
  </w:style>
  <w:style w:type="paragraph" w:customStyle="1" w:styleId="Default">
    <w:name w:val="Default"/>
    <w:rsid w:val="002A0BDA"/>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87847">
      <w:bodyDiv w:val="1"/>
      <w:marLeft w:val="0"/>
      <w:marRight w:val="0"/>
      <w:marTop w:val="0"/>
      <w:marBottom w:val="0"/>
      <w:divBdr>
        <w:top w:val="none" w:sz="0" w:space="0" w:color="auto"/>
        <w:left w:val="none" w:sz="0" w:space="0" w:color="auto"/>
        <w:bottom w:val="none" w:sz="0" w:space="0" w:color="auto"/>
        <w:right w:val="none" w:sz="0" w:space="0" w:color="auto"/>
      </w:divBdr>
    </w:div>
    <w:div w:id="250358565">
      <w:bodyDiv w:val="1"/>
      <w:marLeft w:val="0"/>
      <w:marRight w:val="0"/>
      <w:marTop w:val="0"/>
      <w:marBottom w:val="0"/>
      <w:divBdr>
        <w:top w:val="none" w:sz="0" w:space="0" w:color="auto"/>
        <w:left w:val="none" w:sz="0" w:space="0" w:color="auto"/>
        <w:bottom w:val="none" w:sz="0" w:space="0" w:color="auto"/>
        <w:right w:val="none" w:sz="0" w:space="0" w:color="auto"/>
      </w:divBdr>
    </w:div>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01008755">
      <w:bodyDiv w:val="1"/>
      <w:marLeft w:val="0"/>
      <w:marRight w:val="0"/>
      <w:marTop w:val="0"/>
      <w:marBottom w:val="0"/>
      <w:divBdr>
        <w:top w:val="none" w:sz="0" w:space="0" w:color="auto"/>
        <w:left w:val="none" w:sz="0" w:space="0" w:color="auto"/>
        <w:bottom w:val="none" w:sz="0" w:space="0" w:color="auto"/>
        <w:right w:val="none" w:sz="0" w:space="0" w:color="auto"/>
      </w:divBdr>
    </w:div>
    <w:div w:id="308942777">
      <w:bodyDiv w:val="1"/>
      <w:marLeft w:val="0"/>
      <w:marRight w:val="0"/>
      <w:marTop w:val="0"/>
      <w:marBottom w:val="0"/>
      <w:divBdr>
        <w:top w:val="none" w:sz="0" w:space="0" w:color="auto"/>
        <w:left w:val="none" w:sz="0" w:space="0" w:color="auto"/>
        <w:bottom w:val="none" w:sz="0" w:space="0" w:color="auto"/>
        <w:right w:val="none" w:sz="0" w:space="0" w:color="auto"/>
      </w:divBdr>
    </w:div>
    <w:div w:id="348798105">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690378830">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799033667">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30629577">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8590895">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172797071">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662078069">
      <w:bodyDiv w:val="1"/>
      <w:marLeft w:val="0"/>
      <w:marRight w:val="0"/>
      <w:marTop w:val="0"/>
      <w:marBottom w:val="0"/>
      <w:divBdr>
        <w:top w:val="none" w:sz="0" w:space="0" w:color="auto"/>
        <w:left w:val="none" w:sz="0" w:space="0" w:color="auto"/>
        <w:bottom w:val="none" w:sz="0" w:space="0" w:color="auto"/>
        <w:right w:val="none" w:sz="0" w:space="0" w:color="auto"/>
      </w:divBdr>
    </w:div>
    <w:div w:id="1817792836">
      <w:bodyDiv w:val="1"/>
      <w:marLeft w:val="0"/>
      <w:marRight w:val="0"/>
      <w:marTop w:val="0"/>
      <w:marBottom w:val="0"/>
      <w:divBdr>
        <w:top w:val="none" w:sz="0" w:space="0" w:color="auto"/>
        <w:left w:val="none" w:sz="0" w:space="0" w:color="auto"/>
        <w:bottom w:val="none" w:sz="0" w:space="0" w:color="auto"/>
        <w:right w:val="none" w:sz="0" w:space="0" w:color="auto"/>
      </w:divBdr>
    </w:div>
    <w:div w:id="1852331647">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_Flow_SignoffStatus xmlns="61124d02-a506-4a4e-a704-85d172cd7910" xsi:nil="tru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2" ma:contentTypeDescription="Create a new document." ma:contentTypeScope="" ma:versionID="bde711db95cf5e35d8038c566f0948e4">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9e73ff4f16a7af526f74675e76547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2.xml><?xml version="1.0" encoding="utf-8"?>
<ds:datastoreItem xmlns:ds="http://schemas.openxmlformats.org/officeDocument/2006/customXml" ds:itemID="{476C6CC1-418C-43D3-9C97-60262BF907F3}">
  <ds:schemaRefs>
    <ds:schemaRef ds:uri="http://schemas.microsoft.com/sharepoint/v3/contenttype/forms"/>
  </ds:schemaRefs>
</ds:datastoreItem>
</file>

<file path=customXml/itemProps3.xml><?xml version="1.0" encoding="utf-8"?>
<ds:datastoreItem xmlns:ds="http://schemas.openxmlformats.org/officeDocument/2006/customXml" ds:itemID="{1917D7C5-FE10-4F38-BF1D-5D004D98A1C8}">
  <ds:schemaRefs>
    <ds:schemaRef ds:uri="http://schemas.microsoft.com/office/2006/metadata/properties"/>
    <ds:schemaRef ds:uri="http://schemas.microsoft.com/office/infopath/2007/PartnerControls"/>
    <ds:schemaRef ds:uri="61124d02-a506-4a4e-a704-85d172cd7910"/>
  </ds:schemaRefs>
</ds:datastoreItem>
</file>

<file path=customXml/itemProps4.xml><?xml version="1.0" encoding="utf-8"?>
<ds:datastoreItem xmlns:ds="http://schemas.openxmlformats.org/officeDocument/2006/customXml" ds:itemID="{64619BCD-7901-4446-99C9-02E0E228E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Principal Security Architect</vt:lpstr>
    </vt:vector>
  </TitlesOfParts>
  <Company>Public Sector Commission</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Security Architect</dc:title>
  <dc:creator>Jennifer Christensen</dc:creator>
  <cp:lastModifiedBy>Yana Suslik</cp:lastModifiedBy>
  <cp:revision>4</cp:revision>
  <cp:lastPrinted>2021-06-07T04:46:00Z</cp:lastPrinted>
  <dcterms:created xsi:type="dcterms:W3CDTF">2025-03-13T03:00:00Z</dcterms:created>
  <dcterms:modified xsi:type="dcterms:W3CDTF">2025-03-13T05:10:00Z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0x0101000A4C21FFA1B472429755470288D67054</vt:lpwstr>
  </property>
  <property fmtid="{D5CDD505-2E9C-101B-9397-08002B2CF9AE}" pid="4" name="GrammarlyDocumentId">
    <vt:lpwstr>8c8642b9e8a9f904b48a0c9691bd3736a84f7de07fc291aa8053fa8cecc582fb</vt:lpwstr>
  </property>
  <property fmtid="{D5CDD505-2E9C-101B-9397-08002B2CF9AE}" pid="5" name="rdHierarchyBusinessEnablers">
    <vt:lpwstr>227;#Finance: Complementary - Adept|8d2917c9-2fa9-4835-b4ce-22928110d94b;#127;#Technology: Focus - Advanced|27f3a7b8-dcc0-4d34-9c52-28e85abf565b;#114;#Procurement and Contract Management: Complementary - Intermediate|510733f5-86d4-4359-996b-8e2ecbdcb63e;#115;#Project Management: Complementary - Intermediate|cbf6e839-a1c4-4214-b40d-39603bcf3d2e</vt:lpwstr>
  </property>
  <property fmtid="{D5CDD505-2E9C-101B-9397-08002B2CF9AE}" pid="6" name="rdHierarchyResults">
    <vt:lpwstr>236;#Deliver Results: Complementary - Adept|a17ec156-261e-4829-9a68-9f5de18a533d;#180;#Plan and Prioritise: Focus - Advanced|86fc6d63-4b76-40c9-9e89-b288440961f3;#226;#Think and Solve Problems: Complementary - Adept|c6544f6f-ff19-4735-a71b-2f6d2f673496;#196;#Demonstrate Accountability: Complementary - Advanced|bc932708-01ed-412d-b6a7-5d7ec11830dd</vt:lpwstr>
  </property>
  <property fmtid="{D5CDD505-2E9C-101B-9397-08002B2CF9AE}" pid="7" name="rdHierarchyRelationships">
    <vt:lpwstr/>
  </property>
  <property fmtid="{D5CDD505-2E9C-101B-9397-08002B2CF9AE}" pid="8" name="rdHierarchyOccupationSpecific">
    <vt:lpwstr>189;#ICT (SFIA)|f8cf43f9-9b47-4e0c-98c5-caa063c3d4f9</vt:lpwstr>
  </property>
  <property fmtid="{D5CDD505-2E9C-101B-9397-08002B2CF9AE}" pid="9" name="rdHierarchyPersonalAttributes">
    <vt:lpwstr/>
  </property>
  <property fmtid="{D5CDD505-2E9C-101B-9397-08002B2CF9AE}" pid="10" name="rdHierarchyPeopleManagement">
    <vt:lpwstr/>
  </property>
</Properties>
</file>