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58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561"/>
      </w:tblGrid>
      <w:tr w:rsidR="00920FE5" w:rsidRPr="00DC0173" w14:paraId="0330326B" w14:textId="77777777" w:rsidTr="0000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vAlign w:val="center"/>
          </w:tcPr>
          <w:p w14:paraId="6F62EFAB" w14:textId="77777777" w:rsidR="00920FE5" w:rsidRPr="00DC0173" w:rsidRDefault="00920FE5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561" w:type="dxa"/>
          </w:tcPr>
          <w:p w14:paraId="41916DDB" w14:textId="17E4F277" w:rsidR="00920FE5" w:rsidRPr="00DC0173" w:rsidRDefault="00920FE5" w:rsidP="00007D99">
            <w:pPr>
              <w:pStyle w:val="TableTextWhite"/>
            </w:pPr>
            <w:r>
              <w:rPr>
                <w:rFonts w:cs="Arial"/>
              </w:rPr>
              <w:t>Planning &amp; Environment</w:t>
            </w:r>
          </w:p>
        </w:tc>
      </w:tr>
      <w:tr w:rsidR="00920FE5" w:rsidRPr="00DC0173" w14:paraId="2C1527EF" w14:textId="77777777" w:rsidTr="00007D99">
        <w:tc>
          <w:tcPr>
            <w:tcW w:w="4026" w:type="dxa"/>
            <w:vAlign w:val="center"/>
          </w:tcPr>
          <w:p w14:paraId="6B0AEDC3" w14:textId="77777777" w:rsidR="00920FE5" w:rsidRPr="00DC0173" w:rsidRDefault="00920FE5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561" w:type="dxa"/>
          </w:tcPr>
          <w:p w14:paraId="1D504935" w14:textId="45368164" w:rsidR="00920FE5" w:rsidRPr="00DC0173" w:rsidRDefault="00A005A8" w:rsidP="00007D99">
            <w:pPr>
              <w:pStyle w:val="TableTextWhite"/>
            </w:pPr>
            <w:r>
              <w:rPr>
                <w:rFonts w:cs="Arial"/>
              </w:rPr>
              <w:t>Department of Planning &amp; Environment</w:t>
            </w:r>
          </w:p>
        </w:tc>
      </w:tr>
      <w:tr w:rsidR="00920FE5" w:rsidRPr="00DC0173" w14:paraId="152A9F64" w14:textId="77777777" w:rsidTr="00007D99">
        <w:tc>
          <w:tcPr>
            <w:tcW w:w="4026" w:type="dxa"/>
            <w:vAlign w:val="center"/>
          </w:tcPr>
          <w:p w14:paraId="42A9BFB6" w14:textId="77777777" w:rsidR="00920FE5" w:rsidRPr="00DC0173" w:rsidRDefault="00920FE5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Division/Branch/Unit</w:t>
            </w:r>
          </w:p>
        </w:tc>
        <w:tc>
          <w:tcPr>
            <w:tcW w:w="6561" w:type="dxa"/>
          </w:tcPr>
          <w:p w14:paraId="052C7253" w14:textId="77777777" w:rsidR="00920FE5" w:rsidRPr="00DC0173" w:rsidRDefault="00920FE5" w:rsidP="00007D99">
            <w:pPr>
              <w:pStyle w:val="TableTextWhite"/>
            </w:pPr>
            <w:r>
              <w:rPr>
                <w:rFonts w:cs="Arial"/>
                <w:spacing w:val="1"/>
              </w:rPr>
              <w:t>S</w:t>
            </w:r>
            <w:r>
              <w:rPr>
                <w:rFonts w:cs="Arial"/>
                <w:spacing w:val="-4"/>
              </w:rPr>
              <w:t>y</w:t>
            </w:r>
            <w:r>
              <w:rPr>
                <w:rFonts w:cs="Arial"/>
                <w:spacing w:val="2"/>
              </w:rPr>
              <w:t>d</w:t>
            </w:r>
            <w:r>
              <w:rPr>
                <w:rFonts w:cs="Arial"/>
              </w:rPr>
              <w:t>n</w:t>
            </w:r>
            <w:r>
              <w:rPr>
                <w:rFonts w:cs="Arial"/>
                <w:spacing w:val="4"/>
              </w:rPr>
              <w:t>e</w:t>
            </w:r>
            <w:r>
              <w:rPr>
                <w:rFonts w:cs="Arial"/>
              </w:rPr>
              <w:t>y</w:t>
            </w:r>
            <w:r>
              <w:rPr>
                <w:rFonts w:cs="Arial"/>
                <w:spacing w:val="-11"/>
              </w:rPr>
              <w:t xml:space="preserve"> </w:t>
            </w:r>
            <w:r>
              <w:rPr>
                <w:rFonts w:cs="Arial"/>
                <w:spacing w:val="1"/>
              </w:rPr>
              <w:t>O</w:t>
            </w:r>
            <w:r>
              <w:rPr>
                <w:rFonts w:cs="Arial"/>
                <w:spacing w:val="4"/>
              </w:rPr>
              <w:t>l</w:t>
            </w:r>
            <w:r>
              <w:rPr>
                <w:rFonts w:cs="Arial"/>
                <w:spacing w:val="-6"/>
              </w:rPr>
              <w:t>y</w:t>
            </w:r>
            <w:r>
              <w:rPr>
                <w:rFonts w:cs="Arial"/>
                <w:spacing w:val="4"/>
              </w:rPr>
              <w:t>m</w:t>
            </w:r>
            <w:r>
              <w:rPr>
                <w:rFonts w:cs="Arial"/>
              </w:rPr>
              <w:t>p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</w:rPr>
              <w:t>c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P</w:t>
            </w:r>
            <w:r>
              <w:rPr>
                <w:rFonts w:cs="Arial"/>
              </w:rPr>
              <w:t xml:space="preserve">ark 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ut</w:t>
            </w:r>
            <w:r>
              <w:rPr>
                <w:rFonts w:cs="Arial"/>
                <w:spacing w:val="1"/>
              </w:rPr>
              <w:t>h</w:t>
            </w:r>
            <w:r>
              <w:rPr>
                <w:rFonts w:cs="Arial"/>
              </w:rPr>
              <w:t>ori</w:t>
            </w:r>
            <w:r>
              <w:rPr>
                <w:rFonts w:cs="Arial"/>
                <w:spacing w:val="2"/>
              </w:rPr>
              <w:t>t</w:t>
            </w:r>
            <w:r>
              <w:rPr>
                <w:rFonts w:cs="Arial"/>
              </w:rPr>
              <w:t>y</w:t>
            </w:r>
          </w:p>
        </w:tc>
      </w:tr>
      <w:tr w:rsidR="00DB64EA" w:rsidRPr="00DC0173" w14:paraId="540107CD" w14:textId="77777777" w:rsidTr="00007D99">
        <w:tc>
          <w:tcPr>
            <w:tcW w:w="4026" w:type="dxa"/>
            <w:vAlign w:val="center"/>
          </w:tcPr>
          <w:p w14:paraId="1F316C83" w14:textId="77777777" w:rsidR="00DB64EA" w:rsidRPr="00DC0173" w:rsidRDefault="00DB64EA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561" w:type="dxa"/>
          </w:tcPr>
          <w:p w14:paraId="461CA55F" w14:textId="77777777" w:rsidR="00DB64EA" w:rsidRPr="00DC0173" w:rsidRDefault="00DB64EA" w:rsidP="00007D99">
            <w:pPr>
              <w:pStyle w:val="TableTextWhite"/>
            </w:pPr>
            <w:r>
              <w:t>Sydney</w:t>
            </w:r>
          </w:p>
        </w:tc>
      </w:tr>
      <w:tr w:rsidR="00DB64EA" w:rsidRPr="00DC0173" w14:paraId="22E89194" w14:textId="77777777" w:rsidTr="00007D99">
        <w:tc>
          <w:tcPr>
            <w:tcW w:w="4026" w:type="dxa"/>
            <w:vAlign w:val="center"/>
          </w:tcPr>
          <w:p w14:paraId="46951897" w14:textId="77777777" w:rsidR="00DB64EA" w:rsidRPr="00DC0173" w:rsidRDefault="00DB64EA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Classification/Grade/Band</w:t>
            </w:r>
          </w:p>
        </w:tc>
        <w:tc>
          <w:tcPr>
            <w:tcW w:w="6561" w:type="dxa"/>
          </w:tcPr>
          <w:p w14:paraId="60DD3FE1" w14:textId="77777777" w:rsidR="00DB64EA" w:rsidRPr="00DC0173" w:rsidRDefault="00DB64EA" w:rsidP="00007D99">
            <w:pPr>
              <w:pStyle w:val="TableTextWhite"/>
            </w:pPr>
            <w:r>
              <w:t>Clerk Grade 3/4</w:t>
            </w:r>
          </w:p>
        </w:tc>
      </w:tr>
      <w:tr w:rsidR="001F5A01" w:rsidRPr="00DC0173" w14:paraId="47524C3C" w14:textId="77777777" w:rsidTr="00007D99">
        <w:tc>
          <w:tcPr>
            <w:tcW w:w="4026" w:type="dxa"/>
            <w:vAlign w:val="center"/>
          </w:tcPr>
          <w:p w14:paraId="477748E1" w14:textId="7378EE23" w:rsidR="001F5A01" w:rsidRDefault="001F5A01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ANZSCO Code</w:t>
            </w:r>
          </w:p>
        </w:tc>
        <w:tc>
          <w:tcPr>
            <w:tcW w:w="6561" w:type="dxa"/>
          </w:tcPr>
          <w:p w14:paraId="4633ABCA" w14:textId="7684EAE1" w:rsidR="001F5A01" w:rsidRDefault="00E2426C" w:rsidP="00007D99">
            <w:pPr>
              <w:pStyle w:val="TableTextWhite"/>
            </w:pPr>
            <w:r>
              <w:t>531111</w:t>
            </w:r>
          </w:p>
        </w:tc>
      </w:tr>
      <w:tr w:rsidR="001F5A01" w:rsidRPr="00DC0173" w14:paraId="70A24B47" w14:textId="77777777" w:rsidTr="00007D99">
        <w:tc>
          <w:tcPr>
            <w:tcW w:w="4026" w:type="dxa"/>
            <w:vAlign w:val="center"/>
          </w:tcPr>
          <w:p w14:paraId="591E90A1" w14:textId="7BE6ABE9" w:rsidR="001F5A01" w:rsidRDefault="001F5A01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PCAT Code</w:t>
            </w:r>
          </w:p>
        </w:tc>
        <w:tc>
          <w:tcPr>
            <w:tcW w:w="6561" w:type="dxa"/>
          </w:tcPr>
          <w:p w14:paraId="049F5C3D" w14:textId="610B500B" w:rsidR="001F5A01" w:rsidRDefault="00E2426C" w:rsidP="00007D99">
            <w:pPr>
              <w:pStyle w:val="TableTextWhite"/>
            </w:pPr>
            <w:r>
              <w:t>1119192</w:t>
            </w:r>
          </w:p>
        </w:tc>
      </w:tr>
      <w:tr w:rsidR="00DB64EA" w:rsidRPr="00DC0173" w14:paraId="222460F7" w14:textId="77777777" w:rsidTr="00007D99">
        <w:tc>
          <w:tcPr>
            <w:tcW w:w="4026" w:type="dxa"/>
            <w:vAlign w:val="center"/>
          </w:tcPr>
          <w:p w14:paraId="4F259163" w14:textId="77777777" w:rsidR="00DB64EA" w:rsidRPr="00DC0173" w:rsidRDefault="00DB64EA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Date of Approval</w:t>
            </w:r>
          </w:p>
        </w:tc>
        <w:tc>
          <w:tcPr>
            <w:tcW w:w="6561" w:type="dxa"/>
          </w:tcPr>
          <w:p w14:paraId="6F476CC3" w14:textId="09068726" w:rsidR="00DB64EA" w:rsidRPr="00DC0173" w:rsidRDefault="00A97568" w:rsidP="00007D99">
            <w:pPr>
              <w:pStyle w:val="TableTextWhite"/>
            </w:pPr>
            <w:r>
              <w:t xml:space="preserve">June 2023 (updated from </w:t>
            </w:r>
            <w:r w:rsidR="009B7905">
              <w:t>November</w:t>
            </w:r>
            <w:r w:rsidR="00D109B5">
              <w:t xml:space="preserve"> </w:t>
            </w:r>
            <w:r w:rsidR="00DB64EA">
              <w:t>2019</w:t>
            </w:r>
            <w:r>
              <w:t>)</w:t>
            </w:r>
          </w:p>
        </w:tc>
        <w:bookmarkStart w:id="0" w:name="Cluster"/>
        <w:bookmarkEnd w:id="0"/>
      </w:tr>
      <w:tr w:rsidR="001F5A01" w:rsidRPr="00DC0173" w14:paraId="0F947FDE" w14:textId="77777777" w:rsidTr="00007D99">
        <w:tc>
          <w:tcPr>
            <w:tcW w:w="4026" w:type="dxa"/>
            <w:vAlign w:val="center"/>
          </w:tcPr>
          <w:p w14:paraId="5D5E26F7" w14:textId="32364823" w:rsidR="001F5A01" w:rsidRDefault="001F5A01" w:rsidP="00007D99">
            <w:pPr>
              <w:pStyle w:val="TableTextWhite"/>
              <w:rPr>
                <w:b/>
              </w:rPr>
            </w:pPr>
            <w:r>
              <w:rPr>
                <w:b/>
              </w:rPr>
              <w:t>Agency Website</w:t>
            </w:r>
          </w:p>
        </w:tc>
        <w:tc>
          <w:tcPr>
            <w:tcW w:w="6561" w:type="dxa"/>
          </w:tcPr>
          <w:p w14:paraId="0009B5EA" w14:textId="10670BCA" w:rsidR="001F5A01" w:rsidRDefault="00A97568" w:rsidP="00007D99">
            <w:pPr>
              <w:pStyle w:val="TableTextWhite"/>
            </w:pPr>
            <w:r>
              <w:t>www.sopa.nsw.gov.au</w:t>
            </w:r>
          </w:p>
        </w:tc>
      </w:tr>
    </w:tbl>
    <w:p w14:paraId="68A89B66" w14:textId="77777777" w:rsidR="00DB64EA" w:rsidRDefault="00DB64EA" w:rsidP="00DB64EA">
      <w:pPr>
        <w:tabs>
          <w:tab w:val="left" w:pos="2925"/>
        </w:tabs>
      </w:pPr>
    </w:p>
    <w:p w14:paraId="275E96AF" w14:textId="77777777" w:rsidR="00DB64EA" w:rsidRPr="00614552" w:rsidRDefault="00DB64EA" w:rsidP="00DB64EA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5EC06736" w14:textId="77777777" w:rsidR="00A97568" w:rsidRDefault="00A97568" w:rsidP="00A97568">
      <w:pPr>
        <w:tabs>
          <w:tab w:val="left" w:pos="2925"/>
        </w:tabs>
      </w:pPr>
      <w:r>
        <w:t xml:space="preserve">Sydney Olympic Park is </w:t>
      </w:r>
      <w:proofErr w:type="spellStart"/>
      <w:r>
        <w:t>Wangal</w:t>
      </w:r>
      <w:proofErr w:type="spellEnd"/>
      <w:r>
        <w:t xml:space="preserve"> Country and is located between Greater Sydney’s two largest employment </w:t>
      </w:r>
      <w:proofErr w:type="spellStart"/>
      <w:r>
        <w:t>centres</w:t>
      </w:r>
      <w:proofErr w:type="spellEnd"/>
      <w:r>
        <w:t xml:space="preserve"> – the Sydney CBD and Parramatta CBD. It is a mix of land uses that include parklands and nature reserves, environmental conservation, public recreation, </w:t>
      </w:r>
      <w:proofErr w:type="gramStart"/>
      <w:r>
        <w:t>sports</w:t>
      </w:r>
      <w:proofErr w:type="gramEnd"/>
      <w:r>
        <w:t xml:space="preserve"> and events, residential and business uses. By 2030, Sydney Olympic Park will be connected by a station on the Sydney Metro West line 1 and is also part of Parramatta Light Rail Stage 2. This new connectivity created through major infrastructure investment signals a shift in the future role of Sydney Olympic Park.</w:t>
      </w:r>
    </w:p>
    <w:p w14:paraId="16445EEF" w14:textId="77777777" w:rsidR="00A97568" w:rsidRDefault="00A97568" w:rsidP="00A97568">
      <w:pPr>
        <w:tabs>
          <w:tab w:val="left" w:pos="2925"/>
        </w:tabs>
        <w:rPr>
          <w:rFonts w:cs="Arial"/>
        </w:rPr>
      </w:pPr>
      <w:r w:rsidRPr="00614552">
        <w:rPr>
          <w:rFonts w:cs="Arial"/>
        </w:rPr>
        <w:t xml:space="preserve">Sydney Olympic Park Authority are custodians of the </w:t>
      </w:r>
      <w:proofErr w:type="gramStart"/>
      <w:r w:rsidRPr="00614552">
        <w:rPr>
          <w:rFonts w:cs="Arial"/>
        </w:rPr>
        <w:t>Park</w:t>
      </w:r>
      <w:proofErr w:type="gramEnd"/>
      <w:r>
        <w:rPr>
          <w:rFonts w:cs="Arial"/>
        </w:rPr>
        <w:t xml:space="preserve"> – being a precinct place manager, as well as a strategic master planner, and development consent authority. </w:t>
      </w:r>
    </w:p>
    <w:p w14:paraId="57FAA1E8" w14:textId="77777777" w:rsidR="00A97568" w:rsidRDefault="00A97568" w:rsidP="00A97568">
      <w:pPr>
        <w:tabs>
          <w:tab w:val="left" w:pos="2925"/>
        </w:tabs>
      </w:pPr>
      <w:r>
        <w:t>The Authority is established under the Sydney Olympic Park Authority Act 2001 and is part of the NSW Department of Planning &amp; Environment.  As well as working closely with the Department, t</w:t>
      </w:r>
      <w:r w:rsidRPr="006F4B99">
        <w:t xml:space="preserve">he Authority </w:t>
      </w:r>
      <w:r>
        <w:t xml:space="preserve">also needs to regularly engage with </w:t>
      </w:r>
      <w:r w:rsidRPr="006F4B99">
        <w:t>other government entities and the surrounding local government areas to achieve the future vision for the precinct.</w:t>
      </w:r>
    </w:p>
    <w:p w14:paraId="23E5D1DF" w14:textId="77777777" w:rsidR="00DB64EA" w:rsidRDefault="00DB64EA" w:rsidP="00DB64EA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42B119B9" w14:textId="6A9C0856" w:rsidR="009A6052" w:rsidRPr="00A97568" w:rsidRDefault="00523C6A" w:rsidP="009B7905">
      <w:pPr>
        <w:jc w:val="both"/>
      </w:pPr>
      <w:r w:rsidRPr="00A97568">
        <w:t xml:space="preserve">The </w:t>
      </w:r>
      <w:r w:rsidR="000302EC" w:rsidRPr="00A97568">
        <w:t xml:space="preserve">Ticketing and Events </w:t>
      </w:r>
      <w:r w:rsidR="00A005A8" w:rsidRPr="00A97568">
        <w:t>As</w:t>
      </w:r>
      <w:r w:rsidR="00CE3C0F" w:rsidRPr="00A97568">
        <w:t>sistant</w:t>
      </w:r>
      <w:r w:rsidRPr="00A97568">
        <w:t xml:space="preserve"> </w:t>
      </w:r>
      <w:r w:rsidR="00D109B5" w:rsidRPr="00A97568">
        <w:t>co-ordinates</w:t>
      </w:r>
      <w:r w:rsidR="00DB64EA" w:rsidRPr="00A97568">
        <w:t xml:space="preserve"> </w:t>
      </w:r>
      <w:r w:rsidR="009B7905" w:rsidRPr="00A97568">
        <w:t xml:space="preserve">and maintains </w:t>
      </w:r>
      <w:r w:rsidR="00DB64EA" w:rsidRPr="00A97568">
        <w:t xml:space="preserve">the planning and delivery of event ticketing and </w:t>
      </w:r>
      <w:r w:rsidR="00AC1F87" w:rsidRPr="00A97568">
        <w:t>assists in the planning and delivery</w:t>
      </w:r>
      <w:r w:rsidR="00DB64EA" w:rsidRPr="00A97568">
        <w:t xml:space="preserve"> </w:t>
      </w:r>
      <w:r w:rsidR="00AC1F87" w:rsidRPr="00A97568">
        <w:t xml:space="preserve">of Events </w:t>
      </w:r>
      <w:r w:rsidR="00DB64EA" w:rsidRPr="00A97568">
        <w:t xml:space="preserve">at the Sydney Olympic Park </w:t>
      </w:r>
      <w:proofErr w:type="spellStart"/>
      <w:r w:rsidR="00646DA9" w:rsidRPr="00A97568">
        <w:t>Quayc</w:t>
      </w:r>
      <w:r w:rsidR="00DB64EA" w:rsidRPr="00A97568">
        <w:t>entre</w:t>
      </w:r>
      <w:proofErr w:type="spellEnd"/>
      <w:r w:rsidR="00DB64EA" w:rsidRPr="00A97568">
        <w:t xml:space="preserve">, Hockey </w:t>
      </w:r>
      <w:proofErr w:type="gramStart"/>
      <w:r w:rsidR="00DB64EA" w:rsidRPr="00A97568">
        <w:t>Centre</w:t>
      </w:r>
      <w:proofErr w:type="gramEnd"/>
      <w:r w:rsidR="00DB64EA" w:rsidRPr="00A97568">
        <w:t xml:space="preserve"> and Sports Halls.</w:t>
      </w:r>
    </w:p>
    <w:p w14:paraId="1F34B383" w14:textId="77777777" w:rsidR="00DB64EA" w:rsidRDefault="00DB64EA" w:rsidP="00DB64EA">
      <w:pPr>
        <w:pStyle w:val="Heading1"/>
        <w:spacing w:after="200" w:line="276" w:lineRule="auto"/>
      </w:pPr>
      <w:r w:rsidRPr="00C13834">
        <w:t>Key accountabilities</w:t>
      </w:r>
    </w:p>
    <w:p w14:paraId="43D7723F" w14:textId="348A8E05" w:rsidR="00C13834" w:rsidRPr="009C0F49" w:rsidRDefault="00C13834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r>
        <w:rPr>
          <w:rFonts w:cs="Arial"/>
        </w:rPr>
        <w:t>M</w:t>
      </w:r>
      <w:r w:rsidRPr="004A0814">
        <w:rPr>
          <w:rFonts w:cs="Arial"/>
        </w:rPr>
        <w:t>aintai</w:t>
      </w:r>
      <w:r w:rsidR="003F1226">
        <w:rPr>
          <w:rFonts w:cs="Arial"/>
        </w:rPr>
        <w:t xml:space="preserve">n </w:t>
      </w:r>
      <w:r>
        <w:rPr>
          <w:rFonts w:cs="Arial"/>
        </w:rPr>
        <w:t>administrative,</w:t>
      </w:r>
      <w:r w:rsidRPr="000401F2">
        <w:rPr>
          <w:rFonts w:cs="Arial"/>
        </w:rPr>
        <w:t xml:space="preserve"> </w:t>
      </w:r>
      <w:r w:rsidRPr="004A0814">
        <w:rPr>
          <w:rFonts w:cs="Arial"/>
        </w:rPr>
        <w:t xml:space="preserve">systems, </w:t>
      </w:r>
      <w:proofErr w:type="gramStart"/>
      <w:r w:rsidRPr="004A0814">
        <w:rPr>
          <w:rFonts w:cs="Arial"/>
        </w:rPr>
        <w:t>procedur</w:t>
      </w:r>
      <w:r>
        <w:rPr>
          <w:rFonts w:cs="Arial"/>
        </w:rPr>
        <w:t>es</w:t>
      </w:r>
      <w:proofErr w:type="gramEnd"/>
      <w:r>
        <w:rPr>
          <w:rFonts w:cs="Arial"/>
        </w:rPr>
        <w:t xml:space="preserve"> and standards to ensure the Events and </w:t>
      </w:r>
      <w:r w:rsidR="00CE3C0F">
        <w:rPr>
          <w:rFonts w:cs="Arial"/>
        </w:rPr>
        <w:t>T</w:t>
      </w:r>
      <w:r>
        <w:rPr>
          <w:rFonts w:cs="Arial"/>
        </w:rPr>
        <w:t>icketing</w:t>
      </w:r>
      <w:r w:rsidRPr="004A0814">
        <w:rPr>
          <w:rFonts w:cs="Arial"/>
        </w:rPr>
        <w:t xml:space="preserve"> team</w:t>
      </w:r>
      <w:r w:rsidR="00CE3C0F">
        <w:rPr>
          <w:rFonts w:cs="Arial"/>
        </w:rPr>
        <w:t>s</w:t>
      </w:r>
      <w:r w:rsidRPr="004A0814">
        <w:rPr>
          <w:rFonts w:cs="Arial"/>
        </w:rPr>
        <w:t xml:space="preserve"> operate </w:t>
      </w:r>
      <w:r w:rsidR="003F1226">
        <w:rPr>
          <w:rFonts w:cs="Arial"/>
        </w:rPr>
        <w:t xml:space="preserve">efficiently and </w:t>
      </w:r>
      <w:r w:rsidRPr="004A0814">
        <w:rPr>
          <w:rFonts w:cs="Arial"/>
        </w:rPr>
        <w:t xml:space="preserve">effectively </w:t>
      </w:r>
      <w:r w:rsidR="003F1226">
        <w:rPr>
          <w:rFonts w:cs="Arial"/>
        </w:rPr>
        <w:t>in</w:t>
      </w:r>
      <w:r w:rsidRPr="005807C8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Pr="009C0F49">
        <w:rPr>
          <w:rFonts w:cs="Arial"/>
        </w:rPr>
        <w:t>delivery of events</w:t>
      </w:r>
      <w:r w:rsidR="00AF771E" w:rsidRPr="009C0F49">
        <w:rPr>
          <w:rFonts w:cs="Arial"/>
        </w:rPr>
        <w:t>.</w:t>
      </w:r>
    </w:p>
    <w:p w14:paraId="3B46A391" w14:textId="77777777" w:rsidR="00AF771E" w:rsidRPr="009C0F49" w:rsidRDefault="00AF771E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r w:rsidRPr="00614552">
        <w:rPr>
          <w:rFonts w:cs="Arial"/>
        </w:rPr>
        <w:t xml:space="preserve">Ensure </w:t>
      </w:r>
      <w:r>
        <w:rPr>
          <w:rFonts w:cs="Arial"/>
        </w:rPr>
        <w:t>stakeholders</w:t>
      </w:r>
      <w:r w:rsidRPr="00614552">
        <w:rPr>
          <w:rFonts w:cs="Arial"/>
        </w:rPr>
        <w:t xml:space="preserve"> are provided with correct information regarding </w:t>
      </w:r>
      <w:r>
        <w:rPr>
          <w:rFonts w:cs="Arial"/>
        </w:rPr>
        <w:t>ticket entry and prices during</w:t>
      </w:r>
      <w:r w:rsidRPr="00614552">
        <w:rPr>
          <w:rFonts w:cs="Arial"/>
        </w:rPr>
        <w:t xml:space="preserve"> events to ensure all customer needs are met.</w:t>
      </w:r>
    </w:p>
    <w:p w14:paraId="1FFDD2DC" w14:textId="77777777" w:rsidR="00DB64EA" w:rsidRPr="009C0F49" w:rsidRDefault="00A40B61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proofErr w:type="spellStart"/>
      <w:r w:rsidRPr="009C0F49">
        <w:rPr>
          <w:rFonts w:cs="Arial"/>
        </w:rPr>
        <w:t>O</w:t>
      </w:r>
      <w:r w:rsidR="00DB64EA" w:rsidRPr="009C0F49">
        <w:rPr>
          <w:rFonts w:cs="Arial"/>
        </w:rPr>
        <w:t>rganis</w:t>
      </w:r>
      <w:r w:rsidRPr="009C0F49">
        <w:rPr>
          <w:rFonts w:cs="Arial"/>
        </w:rPr>
        <w:t>e</w:t>
      </w:r>
      <w:proofErr w:type="spellEnd"/>
      <w:r w:rsidR="00DB64EA" w:rsidRPr="009C0F49">
        <w:rPr>
          <w:rFonts w:cs="Arial"/>
        </w:rPr>
        <w:t xml:space="preserve"> and </w:t>
      </w:r>
      <w:r w:rsidR="00C13834" w:rsidRPr="009C0F49">
        <w:rPr>
          <w:rFonts w:cs="Arial"/>
        </w:rPr>
        <w:t>monitor</w:t>
      </w:r>
      <w:r w:rsidR="00DB64EA" w:rsidRPr="009C0F49">
        <w:rPr>
          <w:rFonts w:cs="Arial"/>
        </w:rPr>
        <w:t xml:space="preserve"> the ticketing function</w:t>
      </w:r>
      <w:r w:rsidR="00C13834" w:rsidRPr="009C0F49">
        <w:rPr>
          <w:rFonts w:cs="Arial"/>
        </w:rPr>
        <w:t>s</w:t>
      </w:r>
      <w:r w:rsidR="00DB64EA" w:rsidRPr="009C0F49">
        <w:rPr>
          <w:rFonts w:cs="Arial"/>
        </w:rPr>
        <w:t xml:space="preserve"> for events</w:t>
      </w:r>
      <w:r w:rsidR="00C13834" w:rsidRPr="009C0F49">
        <w:rPr>
          <w:rFonts w:cs="Arial"/>
        </w:rPr>
        <w:t xml:space="preserve"> held</w:t>
      </w:r>
      <w:r w:rsidR="00DB64EA" w:rsidRPr="009C0F49">
        <w:rPr>
          <w:rFonts w:cs="Arial"/>
        </w:rPr>
        <w:t xml:space="preserve"> across the venues</w:t>
      </w:r>
      <w:r w:rsidR="00AF771E" w:rsidRPr="009C0F49">
        <w:rPr>
          <w:rFonts w:cs="Arial"/>
        </w:rPr>
        <w:t>; and supervise ticketing builds within agreed budgets and timeframes</w:t>
      </w:r>
      <w:r w:rsidR="00AC2740" w:rsidRPr="009C0F49">
        <w:rPr>
          <w:rFonts w:cs="Arial"/>
        </w:rPr>
        <w:t>.</w:t>
      </w:r>
    </w:p>
    <w:p w14:paraId="678F0BF3" w14:textId="41D03891" w:rsidR="009C0F49" w:rsidRPr="009C0F49" w:rsidRDefault="009C0F49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r w:rsidRPr="009C0F49">
        <w:rPr>
          <w:rFonts w:cs="Arial"/>
        </w:rPr>
        <w:t xml:space="preserve">Review logistics for </w:t>
      </w:r>
      <w:r w:rsidR="00A97568">
        <w:rPr>
          <w:rFonts w:cs="Arial"/>
        </w:rPr>
        <w:t xml:space="preserve">the </w:t>
      </w:r>
      <w:r w:rsidRPr="009C0F49">
        <w:rPr>
          <w:rFonts w:cs="Arial"/>
        </w:rPr>
        <w:t xml:space="preserve">delivery of Ticketing, Box Office and Front of House aspects of events and </w:t>
      </w:r>
      <w:r w:rsidR="00A97568">
        <w:rPr>
          <w:rFonts w:cs="Arial"/>
        </w:rPr>
        <w:t xml:space="preserve">ensure they </w:t>
      </w:r>
      <w:r w:rsidRPr="009C0F49">
        <w:rPr>
          <w:rFonts w:cs="Arial"/>
        </w:rPr>
        <w:t xml:space="preserve">comply with risk </w:t>
      </w:r>
      <w:proofErr w:type="spellStart"/>
      <w:r w:rsidRPr="009C0F49">
        <w:rPr>
          <w:rFonts w:cs="Arial"/>
        </w:rPr>
        <w:t>minimisation</w:t>
      </w:r>
      <w:proofErr w:type="spellEnd"/>
      <w:r w:rsidRPr="009C0F49">
        <w:rPr>
          <w:rFonts w:cs="Arial"/>
        </w:rPr>
        <w:t xml:space="preserve"> strategies.</w:t>
      </w:r>
    </w:p>
    <w:p w14:paraId="75CA54CC" w14:textId="670B658D" w:rsidR="00AF771E" w:rsidRPr="00A97568" w:rsidRDefault="00AF771E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r w:rsidRPr="00A97568">
        <w:rPr>
          <w:rFonts w:cs="Arial"/>
        </w:rPr>
        <w:lastRenderedPageBreak/>
        <w:t xml:space="preserve">Accurately process all ticketing transactions through a </w:t>
      </w:r>
      <w:proofErr w:type="spellStart"/>
      <w:r w:rsidRPr="00A97568">
        <w:rPr>
          <w:rFonts w:cs="Arial"/>
        </w:rPr>
        <w:t>computerised</w:t>
      </w:r>
      <w:proofErr w:type="spellEnd"/>
      <w:r w:rsidRPr="00A97568">
        <w:rPr>
          <w:rFonts w:cs="Arial"/>
        </w:rPr>
        <w:t xml:space="preserve"> point of sale system and complete the reconciliation process, with minimal errors.</w:t>
      </w:r>
    </w:p>
    <w:p w14:paraId="3B43CAEF" w14:textId="57B3C0BD" w:rsidR="000302EC" w:rsidRPr="00A97568" w:rsidRDefault="000302EC" w:rsidP="009C0F49">
      <w:pPr>
        <w:pStyle w:val="ListParagraph"/>
        <w:numPr>
          <w:ilvl w:val="0"/>
          <w:numId w:val="3"/>
        </w:numPr>
        <w:spacing w:after="100" w:afterAutospacing="1"/>
        <w:ind w:left="714" w:hanging="357"/>
        <w:jc w:val="both"/>
        <w:rPr>
          <w:rFonts w:cs="Arial"/>
        </w:rPr>
      </w:pPr>
      <w:r w:rsidRPr="00A97568">
        <w:rPr>
          <w:rFonts w:cs="Arial"/>
        </w:rPr>
        <w:t xml:space="preserve">Assist in the </w:t>
      </w:r>
      <w:bookmarkStart w:id="1" w:name="_Hlk136935565"/>
      <w:r w:rsidR="00CE3C0F" w:rsidRPr="00A97568">
        <w:rPr>
          <w:rFonts w:cs="Arial"/>
        </w:rPr>
        <w:t>p</w:t>
      </w:r>
      <w:r w:rsidRPr="00A97568">
        <w:rPr>
          <w:rFonts w:cs="Arial"/>
        </w:rPr>
        <w:t xml:space="preserve">lanning and </w:t>
      </w:r>
      <w:r w:rsidR="00CE3C0F" w:rsidRPr="00A97568">
        <w:rPr>
          <w:rFonts w:cs="Arial"/>
        </w:rPr>
        <w:t>d</w:t>
      </w:r>
      <w:r w:rsidRPr="00A97568">
        <w:rPr>
          <w:rFonts w:cs="Arial"/>
        </w:rPr>
        <w:t xml:space="preserve">elivery of </w:t>
      </w:r>
      <w:r w:rsidR="00CE3C0F" w:rsidRPr="00A97568">
        <w:rPr>
          <w:rFonts w:cs="Arial"/>
        </w:rPr>
        <w:t>e</w:t>
      </w:r>
      <w:r w:rsidRPr="00A97568">
        <w:rPr>
          <w:rFonts w:cs="Arial"/>
        </w:rPr>
        <w:t>vents</w:t>
      </w:r>
      <w:bookmarkEnd w:id="1"/>
      <w:r w:rsidR="00CE3C0F" w:rsidRPr="00A97568">
        <w:rPr>
          <w:rFonts w:cs="Arial"/>
        </w:rPr>
        <w:t xml:space="preserve"> and ensuring </w:t>
      </w:r>
      <w:r w:rsidR="00A97568">
        <w:rPr>
          <w:rFonts w:cs="Arial"/>
        </w:rPr>
        <w:t xml:space="preserve">a </w:t>
      </w:r>
      <w:r w:rsidR="00CE3C0F" w:rsidRPr="00A97568">
        <w:rPr>
          <w:rFonts w:cs="Arial"/>
        </w:rPr>
        <w:t>high level of customer service to all customers and stakeholders</w:t>
      </w:r>
      <w:r w:rsidR="00A97568">
        <w:rPr>
          <w:rFonts w:cs="Arial"/>
        </w:rPr>
        <w:t>.</w:t>
      </w:r>
    </w:p>
    <w:p w14:paraId="6E24090C" w14:textId="77777777" w:rsidR="00DB64EA" w:rsidRPr="00C53C23" w:rsidRDefault="00DB64EA" w:rsidP="009C0F49">
      <w:pPr>
        <w:tabs>
          <w:tab w:val="left" w:pos="2925"/>
        </w:tabs>
        <w:rPr>
          <w:rStyle w:val="Heading1Char"/>
        </w:rPr>
      </w:pPr>
      <w:r w:rsidRPr="00C53C23">
        <w:rPr>
          <w:rStyle w:val="Heading1Char"/>
        </w:rPr>
        <w:t>Key challenges</w:t>
      </w:r>
    </w:p>
    <w:p w14:paraId="777C03C6" w14:textId="77777777" w:rsidR="00AF771E" w:rsidRDefault="00AF771E" w:rsidP="009C0F49">
      <w:pPr>
        <w:pStyle w:val="ListParagraph"/>
        <w:numPr>
          <w:ilvl w:val="0"/>
          <w:numId w:val="4"/>
        </w:numPr>
        <w:spacing w:after="120"/>
        <w:jc w:val="both"/>
      </w:pPr>
      <w:r w:rsidRPr="00D949E7">
        <w:t>Balancing the needs and expectations of a variety of stakeholders and aligning service delivery with corporate objectives, and new and emerging priorities</w:t>
      </w:r>
      <w:r>
        <w:t>.</w:t>
      </w:r>
    </w:p>
    <w:p w14:paraId="6BA9AADA" w14:textId="77777777" w:rsidR="00C13834" w:rsidRDefault="00C13834" w:rsidP="009C0F49">
      <w:pPr>
        <w:pStyle w:val="ListParagraph"/>
        <w:numPr>
          <w:ilvl w:val="0"/>
          <w:numId w:val="4"/>
        </w:numPr>
        <w:spacing w:after="120"/>
        <w:jc w:val="both"/>
      </w:pPr>
      <w:r w:rsidRPr="007E7235">
        <w:t>Identifying and provi</w:t>
      </w:r>
      <w:r w:rsidRPr="00E66C57">
        <w:t xml:space="preserve">ding timely solutions for a diverse range of </w:t>
      </w:r>
      <w:r>
        <w:t>ticketing</w:t>
      </w:r>
      <w:r w:rsidRPr="00E66C57">
        <w:t xml:space="preserve"> issues that arise </w:t>
      </w:r>
      <w:r>
        <w:t>during events</w:t>
      </w:r>
      <w:r w:rsidR="00AF771E">
        <w:t>.</w:t>
      </w:r>
    </w:p>
    <w:p w14:paraId="670C6AFF" w14:textId="77777777" w:rsidR="00DB64EA" w:rsidRPr="00C53C23" w:rsidRDefault="00DB64EA" w:rsidP="00C53C23">
      <w:pPr>
        <w:tabs>
          <w:tab w:val="left" w:pos="2925"/>
        </w:tabs>
        <w:rPr>
          <w:rStyle w:val="Heading1Char"/>
        </w:rPr>
      </w:pPr>
      <w:r w:rsidRPr="00C53C23">
        <w:rPr>
          <w:rStyle w:val="Heading1Char"/>
        </w:rPr>
        <w:t>Key relationships</w:t>
      </w:r>
    </w:p>
    <w:tbl>
      <w:tblPr>
        <w:tblStyle w:val="PSCPurple"/>
        <w:tblW w:w="1058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6986"/>
      </w:tblGrid>
      <w:tr w:rsidR="00DB64EA" w:rsidRPr="00C978B9" w14:paraId="06B17200" w14:textId="77777777" w:rsidTr="0000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6271B7F0" w14:textId="77777777" w:rsidR="00DB64EA" w:rsidRPr="00C978B9" w:rsidRDefault="00DB64EA" w:rsidP="00007D99">
            <w:pPr>
              <w:pStyle w:val="TableTextWhite0"/>
            </w:pPr>
            <w:r w:rsidRPr="00C978B9">
              <w:t>Who</w:t>
            </w:r>
          </w:p>
        </w:tc>
        <w:tc>
          <w:tcPr>
            <w:tcW w:w="6986" w:type="dxa"/>
          </w:tcPr>
          <w:p w14:paraId="3FAA6354" w14:textId="77777777" w:rsidR="00DB64EA" w:rsidRPr="00C978B9" w:rsidRDefault="00DB64EA" w:rsidP="00007D99">
            <w:pPr>
              <w:pStyle w:val="TableTextWhite0"/>
            </w:pPr>
            <w:r>
              <w:t xml:space="preserve">       </w:t>
            </w:r>
            <w:r w:rsidRPr="00C978B9">
              <w:t>Why</w:t>
            </w:r>
          </w:p>
        </w:tc>
      </w:tr>
      <w:tr w:rsidR="00DB64EA" w:rsidRPr="00A8245E" w14:paraId="58B8D52B" w14:textId="77777777" w:rsidTr="00007D99">
        <w:tc>
          <w:tcPr>
            <w:tcW w:w="3601" w:type="dxa"/>
            <w:shd w:val="clear" w:color="auto" w:fill="BCBEC0"/>
          </w:tcPr>
          <w:p w14:paraId="606F0D5D" w14:textId="77777777" w:rsidR="00DB64EA" w:rsidRPr="00A8245E" w:rsidRDefault="00DB64EA" w:rsidP="00007D99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6986" w:type="dxa"/>
            <w:shd w:val="clear" w:color="auto" w:fill="BCBEC0"/>
          </w:tcPr>
          <w:p w14:paraId="1F609ECD" w14:textId="77777777" w:rsidR="00DB64EA" w:rsidRPr="00A8245E" w:rsidRDefault="00DB64EA" w:rsidP="00007D99">
            <w:pPr>
              <w:pStyle w:val="TableText"/>
              <w:keepNext/>
              <w:rPr>
                <w:b/>
              </w:rPr>
            </w:pPr>
          </w:p>
        </w:tc>
      </w:tr>
      <w:tr w:rsidR="00DB64EA" w:rsidRPr="00C978B9" w14:paraId="0894A7F4" w14:textId="77777777" w:rsidTr="00007D99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5D6C363" w14:textId="77777777" w:rsidR="00DB64EA" w:rsidRPr="00A15CDB" w:rsidRDefault="00D109B5" w:rsidP="00007D99">
            <w:pPr>
              <w:pStyle w:val="TableText"/>
            </w:pPr>
            <w:r>
              <w:t xml:space="preserve">Centre </w:t>
            </w:r>
            <w:r w:rsidR="00DB64EA" w:rsidRPr="00651819">
              <w:t>Manager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74D0AD10" w14:textId="77777777" w:rsidR="00A97568" w:rsidRDefault="001A04B8" w:rsidP="00A97568">
            <w:pPr>
              <w:pStyle w:val="TableText"/>
              <w:numPr>
                <w:ilvl w:val="0"/>
                <w:numId w:val="12"/>
              </w:numPr>
            </w:pPr>
            <w:r>
              <w:t xml:space="preserve">Escalate issues, keep informed, </w:t>
            </w:r>
            <w:proofErr w:type="gramStart"/>
            <w:r>
              <w:t>advise</w:t>
            </w:r>
            <w:proofErr w:type="gramEnd"/>
            <w:r>
              <w:t xml:space="preserve"> and receive instructions</w:t>
            </w:r>
          </w:p>
          <w:p w14:paraId="72E9A610" w14:textId="0CCECE65" w:rsidR="00DB64EA" w:rsidRPr="00A15CDB" w:rsidRDefault="001A04B8" w:rsidP="00A97568">
            <w:pPr>
              <w:pStyle w:val="TableText"/>
              <w:numPr>
                <w:ilvl w:val="0"/>
                <w:numId w:val="12"/>
              </w:numPr>
            </w:pPr>
            <w:r>
              <w:t xml:space="preserve">Provide regular updated on key projects, </w:t>
            </w:r>
            <w:proofErr w:type="gramStart"/>
            <w:r>
              <w:t>issues</w:t>
            </w:r>
            <w:proofErr w:type="gramEnd"/>
            <w:r>
              <w:t xml:space="preserve"> and priorities</w:t>
            </w:r>
            <w:r w:rsidRPr="00A97568">
              <w:rPr>
                <w:rFonts w:cs="Arial"/>
              </w:rPr>
              <w:t>.</w:t>
            </w:r>
          </w:p>
        </w:tc>
      </w:tr>
      <w:tr w:rsidR="00DB64EA" w:rsidRPr="00C978B9" w14:paraId="069242D1" w14:textId="77777777" w:rsidTr="00007D99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9FC0419" w14:textId="77777777" w:rsidR="00DB64EA" w:rsidRPr="00A15CDB" w:rsidRDefault="00DB64EA" w:rsidP="00007D99">
            <w:pPr>
              <w:pStyle w:val="TableText"/>
            </w:pPr>
            <w:r>
              <w:t>Venue Area Manager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2102995A" w14:textId="77777777" w:rsidR="00A97568" w:rsidRDefault="00DB64EA" w:rsidP="00A97568">
            <w:pPr>
              <w:pStyle w:val="TableText"/>
              <w:numPr>
                <w:ilvl w:val="0"/>
                <w:numId w:val="13"/>
              </w:numPr>
            </w:pPr>
            <w:r>
              <w:t>Seek assistance, feedback or providing information necessary for successful operation of events</w:t>
            </w:r>
          </w:p>
          <w:p w14:paraId="58F7E66B" w14:textId="77777777" w:rsidR="00A97568" w:rsidRDefault="00DB64EA" w:rsidP="00A97568">
            <w:pPr>
              <w:pStyle w:val="TableText"/>
              <w:numPr>
                <w:ilvl w:val="0"/>
                <w:numId w:val="13"/>
              </w:numPr>
            </w:pPr>
            <w:r>
              <w:t>Receiv</w:t>
            </w:r>
            <w:r w:rsidR="001A04B8">
              <w:t>e</w:t>
            </w:r>
            <w:r>
              <w:t xml:space="preserve"> mentoring, coaching and performance feedback</w:t>
            </w:r>
          </w:p>
          <w:p w14:paraId="55BC053D" w14:textId="77777777" w:rsidR="00A97568" w:rsidRDefault="00DB64EA" w:rsidP="00A97568">
            <w:pPr>
              <w:pStyle w:val="TableText"/>
              <w:numPr>
                <w:ilvl w:val="0"/>
                <w:numId w:val="13"/>
              </w:numPr>
            </w:pPr>
            <w:r>
              <w:t>Discuss event resources and impacts</w:t>
            </w:r>
          </w:p>
          <w:p w14:paraId="6435FF5B" w14:textId="0D74D27F" w:rsidR="00DB64EA" w:rsidRPr="00A15CDB" w:rsidRDefault="00DB64EA" w:rsidP="00A97568">
            <w:pPr>
              <w:pStyle w:val="TableText"/>
              <w:numPr>
                <w:ilvl w:val="0"/>
                <w:numId w:val="13"/>
              </w:numPr>
            </w:pPr>
            <w:r>
              <w:t>Provid</w:t>
            </w:r>
            <w:r w:rsidR="001A04B8">
              <w:t>e</w:t>
            </w:r>
            <w:r>
              <w:t xml:space="preserve"> accurate and current financial information relevant to ticketing; participate in planning and review.</w:t>
            </w:r>
          </w:p>
        </w:tc>
      </w:tr>
      <w:tr w:rsidR="00DB64EA" w:rsidRPr="00C978B9" w14:paraId="336F8995" w14:textId="77777777" w:rsidTr="00007D99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341A0FF6" w14:textId="77777777" w:rsidR="00DB64EA" w:rsidRPr="00A15CDB" w:rsidRDefault="00646DA9" w:rsidP="00007D99">
            <w:pPr>
              <w:pStyle w:val="TableText"/>
            </w:pPr>
            <w:r>
              <w:t>Work team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BCBEC0"/>
            </w:tcBorders>
          </w:tcPr>
          <w:p w14:paraId="6449B5AB" w14:textId="54494BD7" w:rsidR="00A97568" w:rsidRDefault="00DB64EA" w:rsidP="00A97568">
            <w:pPr>
              <w:pStyle w:val="TableText"/>
              <w:numPr>
                <w:ilvl w:val="0"/>
                <w:numId w:val="14"/>
              </w:numPr>
            </w:pPr>
            <w:r>
              <w:t>Provid</w:t>
            </w:r>
            <w:r w:rsidR="001A04B8">
              <w:t>e</w:t>
            </w:r>
            <w:r>
              <w:t xml:space="preserve"> assistance and </w:t>
            </w:r>
            <w:proofErr w:type="gramStart"/>
            <w:r>
              <w:t>information;</w:t>
            </w:r>
            <w:proofErr w:type="gramEnd"/>
            <w:r>
              <w:t xml:space="preserve"> </w:t>
            </w:r>
            <w:r w:rsidR="00A97568">
              <w:t xml:space="preserve">and </w:t>
            </w:r>
            <w:r>
              <w:t>co-ordinat</w:t>
            </w:r>
            <w:r w:rsidR="00A97568">
              <w:t>e</w:t>
            </w:r>
            <w:r>
              <w:t xml:space="preserve"> resources</w:t>
            </w:r>
          </w:p>
          <w:p w14:paraId="629F2575" w14:textId="0E6CF2F7" w:rsidR="00A97568" w:rsidRDefault="00DB64EA" w:rsidP="00A97568">
            <w:pPr>
              <w:pStyle w:val="TableText"/>
              <w:numPr>
                <w:ilvl w:val="0"/>
                <w:numId w:val="14"/>
              </w:numPr>
            </w:pPr>
            <w:r>
              <w:t>Deliver service and disseminat</w:t>
            </w:r>
            <w:r w:rsidR="00A97568">
              <w:t>e</w:t>
            </w:r>
            <w:r>
              <w:t xml:space="preserve"> information</w:t>
            </w:r>
          </w:p>
          <w:p w14:paraId="66E32782" w14:textId="6A2683E7" w:rsidR="00DB64EA" w:rsidRPr="00A15CDB" w:rsidRDefault="00DB64EA" w:rsidP="00A97568">
            <w:pPr>
              <w:pStyle w:val="TableText"/>
              <w:numPr>
                <w:ilvl w:val="0"/>
                <w:numId w:val="14"/>
              </w:numPr>
            </w:pPr>
            <w:r>
              <w:t>Provide direction and mentoring/training.</w:t>
            </w:r>
          </w:p>
        </w:tc>
      </w:tr>
      <w:tr w:rsidR="00DB64EA" w:rsidRPr="00A8245E" w14:paraId="7046CDAE" w14:textId="77777777" w:rsidTr="00007D99">
        <w:tc>
          <w:tcPr>
            <w:tcW w:w="3601" w:type="dxa"/>
            <w:shd w:val="clear" w:color="auto" w:fill="BCBEC0"/>
          </w:tcPr>
          <w:p w14:paraId="58FDED6C" w14:textId="77777777" w:rsidR="00DB64EA" w:rsidRPr="00A8245E" w:rsidRDefault="00DB64EA" w:rsidP="00007D99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6986" w:type="dxa"/>
            <w:shd w:val="clear" w:color="auto" w:fill="BCBEC0"/>
          </w:tcPr>
          <w:p w14:paraId="208A2F57" w14:textId="77777777" w:rsidR="00DB64EA" w:rsidRPr="00A8245E" w:rsidRDefault="00DB64EA" w:rsidP="00007D99">
            <w:pPr>
              <w:pStyle w:val="TableText"/>
              <w:keepNext/>
              <w:rPr>
                <w:b/>
              </w:rPr>
            </w:pPr>
          </w:p>
        </w:tc>
      </w:tr>
      <w:tr w:rsidR="00DB64EA" w:rsidRPr="00C978B9" w14:paraId="6DEA6D43" w14:textId="77777777" w:rsidTr="00007D99">
        <w:tc>
          <w:tcPr>
            <w:tcW w:w="3601" w:type="dxa"/>
            <w:tcBorders>
              <w:top w:val="single" w:sz="8" w:space="0" w:color="auto"/>
              <w:bottom w:val="single" w:sz="8" w:space="0" w:color="auto"/>
            </w:tcBorders>
          </w:tcPr>
          <w:p w14:paraId="674D8B70" w14:textId="77777777" w:rsidR="00DB64EA" w:rsidRPr="00A15CDB" w:rsidRDefault="00DB64EA" w:rsidP="00141DA8">
            <w:pPr>
              <w:pStyle w:val="TableText"/>
            </w:pPr>
            <w:r w:rsidRPr="00732F98">
              <w:t>Vendors and service providers</w:t>
            </w:r>
            <w:r w:rsidR="00BA20FD">
              <w:t>; p</w:t>
            </w:r>
            <w:r w:rsidR="00BA20FD" w:rsidRPr="00732F98">
              <w:t xml:space="preserve">romoters, entertainers, </w:t>
            </w:r>
            <w:proofErr w:type="gramStart"/>
            <w:r w:rsidR="00BA20FD" w:rsidRPr="00732F98">
              <w:t>artists</w:t>
            </w:r>
            <w:proofErr w:type="gramEnd"/>
            <w:r w:rsidR="00BA20FD" w:rsidRPr="00732F98">
              <w:t xml:space="preserve"> and industry professionals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auto"/>
            </w:tcBorders>
          </w:tcPr>
          <w:p w14:paraId="1D8B9D53" w14:textId="77777777" w:rsidR="00A97568" w:rsidRDefault="00DB64EA" w:rsidP="00A97568">
            <w:pPr>
              <w:pStyle w:val="TableText"/>
              <w:numPr>
                <w:ilvl w:val="0"/>
                <w:numId w:val="15"/>
              </w:numPr>
            </w:pPr>
            <w:r w:rsidRPr="003B02BD">
              <w:t>Promote mutual interests</w:t>
            </w:r>
          </w:p>
          <w:p w14:paraId="24EB3203" w14:textId="1DECB940" w:rsidR="00DB64EA" w:rsidRPr="00A15CDB" w:rsidRDefault="00DB64EA" w:rsidP="00A97568">
            <w:pPr>
              <w:pStyle w:val="TableText"/>
              <w:numPr>
                <w:ilvl w:val="0"/>
                <w:numId w:val="15"/>
              </w:numPr>
            </w:pPr>
            <w:r w:rsidRPr="003B02BD">
              <w:t xml:space="preserve">Share information, provide </w:t>
            </w:r>
            <w:proofErr w:type="gramStart"/>
            <w:r w:rsidRPr="003B02BD">
              <w:t>advice</w:t>
            </w:r>
            <w:proofErr w:type="gramEnd"/>
            <w:r w:rsidRPr="003B02BD">
              <w:t xml:space="preserve"> and plan </w:t>
            </w:r>
            <w:r>
              <w:t>usage</w:t>
            </w:r>
            <w:r w:rsidRPr="003B02BD">
              <w:t>; promote services; participate in consultation and negotiation;</w:t>
            </w:r>
            <w:r>
              <w:t xml:space="preserve"> analyse information and compile reports; </w:t>
            </w:r>
            <w:r w:rsidRPr="003B02BD">
              <w:t xml:space="preserve">resolve routine issues and </w:t>
            </w:r>
            <w:r>
              <w:t>deliver service.</w:t>
            </w:r>
          </w:p>
        </w:tc>
      </w:tr>
      <w:tr w:rsidR="00DB64EA" w:rsidRPr="00C978B9" w14:paraId="2D63F3F7" w14:textId="77777777" w:rsidTr="00007D99">
        <w:tc>
          <w:tcPr>
            <w:tcW w:w="3601" w:type="dxa"/>
            <w:tcBorders>
              <w:top w:val="single" w:sz="8" w:space="0" w:color="auto"/>
              <w:bottom w:val="single" w:sz="8" w:space="0" w:color="auto"/>
            </w:tcBorders>
          </w:tcPr>
          <w:p w14:paraId="556E8AD1" w14:textId="77777777" w:rsidR="00DB64EA" w:rsidRPr="00A15CDB" w:rsidRDefault="00DB64EA" w:rsidP="00007D99">
            <w:pPr>
              <w:pStyle w:val="TableText"/>
            </w:pPr>
            <w:r>
              <w:t xml:space="preserve">Sporting bodies, </w:t>
            </w:r>
            <w:proofErr w:type="gramStart"/>
            <w:r>
              <w:t>associations</w:t>
            </w:r>
            <w:proofErr w:type="gramEnd"/>
            <w:r>
              <w:t xml:space="preserve"> and representatives</w:t>
            </w:r>
            <w:r w:rsidR="00BA20FD">
              <w:t xml:space="preserve">; </w:t>
            </w:r>
            <w:r w:rsidR="00E714A6">
              <w:t>s</w:t>
            </w:r>
            <w:r w:rsidR="00BA20FD" w:rsidRPr="00732F98">
              <w:t>chool, tertiary and private education representatives</w:t>
            </w:r>
          </w:p>
        </w:tc>
        <w:tc>
          <w:tcPr>
            <w:tcW w:w="6986" w:type="dxa"/>
            <w:tcBorders>
              <w:top w:val="single" w:sz="8" w:space="0" w:color="auto"/>
              <w:bottom w:val="single" w:sz="8" w:space="0" w:color="auto"/>
            </w:tcBorders>
          </w:tcPr>
          <w:p w14:paraId="2788B213" w14:textId="42243AF3" w:rsidR="00A97568" w:rsidRDefault="00DB64EA" w:rsidP="00A97568">
            <w:pPr>
              <w:pStyle w:val="TableText"/>
              <w:numPr>
                <w:ilvl w:val="0"/>
                <w:numId w:val="16"/>
              </w:numPr>
            </w:pPr>
            <w:r w:rsidRPr="003B02BD">
              <w:t>Promote mutual interests</w:t>
            </w:r>
          </w:p>
          <w:p w14:paraId="0CD047ED" w14:textId="62E5DE29" w:rsidR="00DB64EA" w:rsidRPr="00A15CDB" w:rsidRDefault="00DB64EA" w:rsidP="00A97568">
            <w:pPr>
              <w:pStyle w:val="TableText"/>
              <w:numPr>
                <w:ilvl w:val="0"/>
                <w:numId w:val="16"/>
              </w:numPr>
            </w:pPr>
            <w:r w:rsidRPr="003B02BD">
              <w:t xml:space="preserve">Share information, provide </w:t>
            </w:r>
            <w:proofErr w:type="gramStart"/>
            <w:r w:rsidRPr="003B02BD">
              <w:t>advice</w:t>
            </w:r>
            <w:proofErr w:type="gramEnd"/>
            <w:r w:rsidRPr="003B02BD">
              <w:t xml:space="preserve"> and plan </w:t>
            </w:r>
            <w:r>
              <w:t>usage</w:t>
            </w:r>
            <w:r w:rsidRPr="003B02BD">
              <w:t>;</w:t>
            </w:r>
            <w:r>
              <w:t xml:space="preserve"> </w:t>
            </w:r>
            <w:r w:rsidRPr="00D55BD8">
              <w:t>resolve rou</w:t>
            </w:r>
            <w:r>
              <w:t>tine issues and deliver service</w:t>
            </w:r>
            <w:r w:rsidRPr="003B02BD">
              <w:t>; participate in consultation and negotiation.</w:t>
            </w:r>
          </w:p>
        </w:tc>
      </w:tr>
    </w:tbl>
    <w:p w14:paraId="6E930C4A" w14:textId="77777777" w:rsidR="00DB64EA" w:rsidRPr="00DB64EA" w:rsidRDefault="00DB64EA" w:rsidP="00DB64EA"/>
    <w:p w14:paraId="1A4B709D" w14:textId="77777777" w:rsidR="00DB64EA" w:rsidRPr="009C0F49" w:rsidRDefault="00DB64EA" w:rsidP="009C0F49">
      <w:pPr>
        <w:pStyle w:val="Heading1"/>
      </w:pPr>
      <w:r w:rsidRPr="00DB64EA">
        <w:t>Role dimensions</w:t>
      </w:r>
    </w:p>
    <w:p w14:paraId="5B2C0915" w14:textId="77777777" w:rsidR="00DB64EA" w:rsidRPr="009C0F49" w:rsidRDefault="00DB64EA" w:rsidP="009C0F49">
      <w:pPr>
        <w:pStyle w:val="Heading2"/>
        <w:keepLines w:val="0"/>
        <w:spacing w:before="0" w:after="120" w:line="260" w:lineRule="atLeast"/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</w:pPr>
      <w:r w:rsidRPr="009C0F49"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  <w:t>Decision making</w:t>
      </w:r>
    </w:p>
    <w:p w14:paraId="4365407F" w14:textId="77777777" w:rsidR="00BA20FD" w:rsidRPr="00604D40" w:rsidRDefault="00BA20FD" w:rsidP="00FA5C1C">
      <w:pPr>
        <w:jc w:val="both"/>
      </w:pPr>
      <w:r w:rsidRPr="00141DA8">
        <w:t xml:space="preserve">This role has limited autonomy and makes decisions under their direct control and refers to the team leader decisions that require significant change to </w:t>
      </w:r>
      <w:r w:rsidRPr="008363D4">
        <w:t>outcomes or timeframes; are likely to escalate or require submission to a higher level of management. T</w:t>
      </w:r>
      <w:r w:rsidRPr="00920FE5">
        <w:t xml:space="preserve">his role is accountable for the delivery of work assignments on time and to expectations in terms of quality, </w:t>
      </w:r>
      <w:proofErr w:type="gramStart"/>
      <w:r w:rsidRPr="00920FE5">
        <w:t>deliverables</w:t>
      </w:r>
      <w:proofErr w:type="gramEnd"/>
      <w:r w:rsidRPr="00920FE5">
        <w:t xml:space="preserve"> and outcomes.</w:t>
      </w:r>
    </w:p>
    <w:p w14:paraId="1E68281F" w14:textId="77777777" w:rsidR="00DB64EA" w:rsidRPr="009C0F49" w:rsidRDefault="00DB64EA" w:rsidP="009C0F49">
      <w:pPr>
        <w:pStyle w:val="Heading2"/>
        <w:keepLines w:val="0"/>
        <w:spacing w:before="0" w:after="120" w:line="260" w:lineRule="atLeast"/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</w:pPr>
      <w:r w:rsidRPr="009C0F49"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  <w:t>Reporting line</w:t>
      </w:r>
    </w:p>
    <w:p w14:paraId="1CD7FAE4" w14:textId="3E8F175D" w:rsidR="00DB64EA" w:rsidRPr="00DB64EA" w:rsidRDefault="000302EC" w:rsidP="00DB64EA">
      <w:r w:rsidRPr="00A97568">
        <w:t>Events Manager</w:t>
      </w:r>
      <w:r w:rsidR="00AF771E" w:rsidRPr="00A97568">
        <w:t xml:space="preserve"> </w:t>
      </w:r>
      <w:r w:rsidR="00AF771E">
        <w:t>Q</w:t>
      </w:r>
      <w:proofErr w:type="spellStart"/>
      <w:r w:rsidR="00AF771E">
        <w:t>uay</w:t>
      </w:r>
      <w:r w:rsidR="00AC2740">
        <w:t>c</w:t>
      </w:r>
      <w:r w:rsidR="00AF771E">
        <w:t>entre</w:t>
      </w:r>
      <w:proofErr w:type="spellEnd"/>
      <w:r w:rsidR="00DB64EA" w:rsidRPr="00DB64EA">
        <w:t xml:space="preserve"> </w:t>
      </w:r>
    </w:p>
    <w:p w14:paraId="24C0B733" w14:textId="77777777" w:rsidR="00DB64EA" w:rsidRPr="009C0F49" w:rsidRDefault="00DB64EA" w:rsidP="009C0F49">
      <w:pPr>
        <w:pStyle w:val="Heading2"/>
        <w:keepLines w:val="0"/>
        <w:spacing w:before="0" w:after="120" w:line="260" w:lineRule="atLeast"/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</w:pPr>
      <w:r w:rsidRPr="009C0F49">
        <w:rPr>
          <w:rFonts w:ascii="Arial" w:eastAsiaTheme="minorHAnsi" w:hAnsi="Arial" w:cs="Arial"/>
          <w:iCs/>
          <w:color w:val="6D6E71"/>
          <w:sz w:val="24"/>
          <w:szCs w:val="28"/>
          <w:lang w:val="en-AU"/>
        </w:rPr>
        <w:lastRenderedPageBreak/>
        <w:t>Direct reports</w:t>
      </w:r>
    </w:p>
    <w:p w14:paraId="1040E61D" w14:textId="77777777" w:rsidR="00DB64EA" w:rsidRPr="00DB64EA" w:rsidRDefault="00DB64EA" w:rsidP="00DB64EA">
      <w:r w:rsidRPr="00DB64EA">
        <w:t>Casual staff</w:t>
      </w:r>
    </w:p>
    <w:p w14:paraId="24C89E0F" w14:textId="77777777" w:rsidR="00DB64EA" w:rsidRPr="001C65A0" w:rsidRDefault="00DB64EA" w:rsidP="00DB64EA">
      <w:pPr>
        <w:rPr>
          <w:b/>
          <w:bCs/>
          <w:iCs/>
          <w:sz w:val="24"/>
          <w:szCs w:val="24"/>
          <w:lang w:val="en-AU"/>
        </w:rPr>
      </w:pPr>
      <w:r w:rsidRPr="001C65A0">
        <w:rPr>
          <w:b/>
          <w:bCs/>
          <w:iCs/>
          <w:sz w:val="24"/>
          <w:szCs w:val="24"/>
          <w:lang w:val="en-AU"/>
        </w:rPr>
        <w:t>Budget/Expenditure</w:t>
      </w:r>
    </w:p>
    <w:p w14:paraId="3F646FC7" w14:textId="7408E31F" w:rsidR="00DB64EA" w:rsidRDefault="00DB64EA" w:rsidP="00DB64EA">
      <w:r w:rsidRPr="00DB64EA">
        <w:t>Budgets and expenditure are in accordance with approved Annual Budget and financial delegations and procedures subject to project type and sponsoring business unit.</w:t>
      </w:r>
    </w:p>
    <w:p w14:paraId="13FE0ADC" w14:textId="151A6D2D" w:rsidR="00A005A8" w:rsidRPr="00A005A8" w:rsidRDefault="00A005A8" w:rsidP="00DB64EA">
      <w:pPr>
        <w:rPr>
          <w:b/>
          <w:bCs/>
          <w:iCs/>
          <w:sz w:val="24"/>
          <w:szCs w:val="24"/>
          <w:lang w:val="en-AU"/>
        </w:rPr>
      </w:pPr>
      <w:r w:rsidRPr="00A005A8">
        <w:rPr>
          <w:b/>
          <w:bCs/>
          <w:iCs/>
          <w:sz w:val="24"/>
          <w:szCs w:val="24"/>
          <w:lang w:val="en-AU"/>
        </w:rPr>
        <w:t>Key knowledge and experience</w:t>
      </w:r>
    </w:p>
    <w:p w14:paraId="31DB158A" w14:textId="6C377B3F" w:rsidR="00A005A8" w:rsidRPr="00A97568" w:rsidRDefault="00A005A8" w:rsidP="00A005A8">
      <w:pPr>
        <w:pStyle w:val="ListParagraph"/>
        <w:numPr>
          <w:ilvl w:val="0"/>
          <w:numId w:val="11"/>
        </w:numPr>
      </w:pPr>
      <w:r w:rsidRPr="00A97568">
        <w:t>Knowledge of ticketing and / or operations relating to Event planning and delivery</w:t>
      </w:r>
    </w:p>
    <w:p w14:paraId="17A0DE13" w14:textId="320A2C34" w:rsidR="00A005A8" w:rsidRPr="00DB64EA" w:rsidRDefault="00A005A8" w:rsidP="00A005A8">
      <w:pPr>
        <w:pStyle w:val="ListParagraph"/>
        <w:numPr>
          <w:ilvl w:val="0"/>
          <w:numId w:val="8"/>
        </w:numPr>
      </w:pPr>
      <w:r>
        <w:t>Senior First Aid Certificate or willingness to obtain and maintain</w:t>
      </w:r>
    </w:p>
    <w:p w14:paraId="781740AC" w14:textId="27801EBE" w:rsidR="00A005A8" w:rsidRDefault="00A005A8" w:rsidP="00A005A8">
      <w:pPr>
        <w:pStyle w:val="ListParagraph"/>
        <w:numPr>
          <w:ilvl w:val="0"/>
          <w:numId w:val="8"/>
        </w:numPr>
      </w:pPr>
      <w:r>
        <w:t>Responsible Service of Alcohol or willingness to obtain and maintain</w:t>
      </w:r>
      <w:r w:rsidR="00A97568">
        <w:t>.</w:t>
      </w:r>
    </w:p>
    <w:p w14:paraId="0B210654" w14:textId="77777777" w:rsidR="00DB64EA" w:rsidRPr="001C65A0" w:rsidRDefault="00DB64EA" w:rsidP="00DB64EA">
      <w:pPr>
        <w:rPr>
          <w:b/>
          <w:bCs/>
          <w:iCs/>
          <w:sz w:val="24"/>
          <w:szCs w:val="24"/>
          <w:lang w:val="en-AU"/>
        </w:rPr>
      </w:pPr>
      <w:r w:rsidRPr="001C65A0">
        <w:rPr>
          <w:b/>
          <w:bCs/>
          <w:iCs/>
          <w:sz w:val="24"/>
          <w:szCs w:val="24"/>
          <w:lang w:val="en-AU"/>
        </w:rPr>
        <w:t>Essential requirements</w:t>
      </w:r>
    </w:p>
    <w:p w14:paraId="3BBCD616" w14:textId="77777777" w:rsidR="00A97568" w:rsidRPr="00A97568" w:rsidRDefault="00A005A8" w:rsidP="00303AD5">
      <w:pPr>
        <w:pStyle w:val="ListParagraph"/>
        <w:numPr>
          <w:ilvl w:val="0"/>
          <w:numId w:val="8"/>
        </w:numPr>
        <w:rPr>
          <w:rFonts w:cs="Arial"/>
          <w:lang w:eastAsia="en-AU"/>
        </w:rPr>
      </w:pPr>
      <w:r>
        <w:rPr>
          <w:lang w:val="en-AU"/>
        </w:rPr>
        <w:t>Relevant qualifications in venue management/event planning/ticketing and/or relevant industry experience</w:t>
      </w:r>
    </w:p>
    <w:p w14:paraId="20B9ADD4" w14:textId="51167C46" w:rsidR="00A97568" w:rsidRPr="006F71AD" w:rsidRDefault="00A97568" w:rsidP="00A97568">
      <w:pPr>
        <w:pStyle w:val="ListParagraph"/>
        <w:numPr>
          <w:ilvl w:val="0"/>
          <w:numId w:val="8"/>
        </w:numPr>
        <w:rPr>
          <w:rFonts w:cs="Arial"/>
          <w:lang w:eastAsia="en-AU"/>
        </w:rPr>
      </w:pPr>
      <w:r w:rsidRPr="00A97568">
        <w:rPr>
          <w:rStyle w:val="m-2667002157381479696gmail-m-3941970929850341227gmail-m-7359575070431525768gmail-il"/>
          <w:rFonts w:cs="Arial"/>
          <w:bCs/>
          <w:shd w:val="clear" w:color="auto" w:fill="FFFFFF"/>
        </w:rPr>
        <w:t xml:space="preserve">A Working with Children Check </w:t>
      </w:r>
      <w:r w:rsidRPr="00A97568">
        <w:rPr>
          <w:rFonts w:cs="Arial"/>
          <w:bCs/>
          <w:shd w:val="clear" w:color="auto" w:fill="FFFFFF"/>
        </w:rPr>
        <w:t xml:space="preserve">is an essential requirement for this role. The role has been identified as requiring a check in keeping with the Child Protection (Working </w:t>
      </w:r>
      <w:proofErr w:type="gramStart"/>
      <w:r w:rsidRPr="00A97568">
        <w:rPr>
          <w:rFonts w:cs="Arial"/>
          <w:bCs/>
          <w:shd w:val="clear" w:color="auto" w:fill="FFFFFF"/>
        </w:rPr>
        <w:t>With</w:t>
      </w:r>
      <w:proofErr w:type="gramEnd"/>
      <w:r w:rsidRPr="00A97568">
        <w:rPr>
          <w:rFonts w:cs="Arial"/>
          <w:bCs/>
          <w:shd w:val="clear" w:color="auto" w:fill="FFFFFF"/>
        </w:rPr>
        <w:t xml:space="preserve"> Children) Act 2012</w:t>
      </w:r>
      <w:r w:rsidRPr="00A97568">
        <w:rPr>
          <w:rFonts w:cs="Arial"/>
          <w:b/>
          <w:bCs/>
          <w:shd w:val="clear" w:color="auto" w:fill="FFFFFF"/>
        </w:rPr>
        <w:t>.</w:t>
      </w:r>
    </w:p>
    <w:p w14:paraId="1A65067C" w14:textId="77777777" w:rsidR="006F71AD" w:rsidRPr="006F71AD" w:rsidRDefault="006F71AD" w:rsidP="006F71AD">
      <w:pPr>
        <w:pStyle w:val="Heading2"/>
        <w:rPr>
          <w:rFonts w:ascii="Arial" w:hAnsi="Arial" w:cs="Arial"/>
        </w:rPr>
      </w:pPr>
      <w:bookmarkStart w:id="2" w:name="_Hlk36203683"/>
      <w:bookmarkStart w:id="3" w:name="_Hlk36565316"/>
      <w:bookmarkStart w:id="4" w:name="_Hlk36209343"/>
      <w:bookmarkStart w:id="5" w:name="_Hlk36710441"/>
      <w:r w:rsidRPr="006F71AD">
        <w:rPr>
          <w:rFonts w:ascii="Arial" w:hAnsi="Arial" w:cs="Arial"/>
        </w:rPr>
        <w:t>Capabilities for the role</w:t>
      </w:r>
    </w:p>
    <w:p w14:paraId="30B68C67" w14:textId="77777777" w:rsidR="006F71AD" w:rsidRPr="006F71AD" w:rsidRDefault="006F71AD" w:rsidP="006F71AD">
      <w:pPr>
        <w:rPr>
          <w:rFonts w:cs="Arial"/>
        </w:rPr>
      </w:pPr>
      <w:r w:rsidRPr="006F71AD">
        <w:rPr>
          <w:rFonts w:cs="Arial"/>
        </w:rPr>
        <w:t xml:space="preserve">The </w:t>
      </w:r>
      <w:hyperlink r:id="rId7" w:history="1">
        <w:r w:rsidRPr="006F71AD">
          <w:rPr>
            <w:rStyle w:val="Hyperlink"/>
            <w:rFonts w:cs="Arial"/>
          </w:rPr>
          <w:t>NSW public sector capability framework</w:t>
        </w:r>
      </w:hyperlink>
      <w:r w:rsidRPr="006F71AD">
        <w:rPr>
          <w:rFonts w:cs="Arial"/>
        </w:rPr>
        <w:t xml:space="preserve"> describes the capabilities (knowledge, skills and abilities) needed to perform a role. There are four main groups of capabilities: personal attributes, relationships, </w:t>
      </w:r>
      <w:proofErr w:type="gramStart"/>
      <w:r w:rsidRPr="006F71AD">
        <w:rPr>
          <w:rFonts w:cs="Arial"/>
        </w:rPr>
        <w:t>results</w:t>
      </w:r>
      <w:proofErr w:type="gramEnd"/>
      <w:r w:rsidRPr="006F71AD">
        <w:rPr>
          <w:rFonts w:cs="Arial"/>
        </w:rPr>
        <w:t xml:space="preserve"> and business enablers, with a fifth people management group of capabilities for roles with managerial responsibilities. These groups, combined with capabilities drawn from occupation-specific capability sets where relevant, work together to provide an understanding of the capabilities needed for the role.</w:t>
      </w:r>
    </w:p>
    <w:p w14:paraId="66351E96" w14:textId="77777777" w:rsidR="006F71AD" w:rsidRPr="006F71AD" w:rsidRDefault="006F71AD" w:rsidP="006F71AD">
      <w:pPr>
        <w:rPr>
          <w:rFonts w:cs="Arial"/>
        </w:rPr>
      </w:pPr>
      <w:r w:rsidRPr="006F71AD">
        <w:rPr>
          <w:rFonts w:cs="Arial"/>
        </w:rPr>
        <w:t>The capabilities are separated into focus capabilities and complementary capabilities</w:t>
      </w:r>
    </w:p>
    <w:p w14:paraId="1EE35229" w14:textId="77777777" w:rsidR="006F71AD" w:rsidRPr="006F71AD" w:rsidRDefault="006F71AD" w:rsidP="006F71AD">
      <w:pPr>
        <w:pStyle w:val="Heading2"/>
        <w:rPr>
          <w:rFonts w:ascii="Arial" w:hAnsi="Arial" w:cs="Arial"/>
        </w:rPr>
      </w:pPr>
      <w:r w:rsidRPr="006F71AD">
        <w:rPr>
          <w:rFonts w:ascii="Arial" w:hAnsi="Arial" w:cs="Arial"/>
        </w:rPr>
        <w:t>Focus capabilities</w:t>
      </w:r>
      <w:r w:rsidRPr="006F71AD">
        <w:rPr>
          <w:rFonts w:ascii="Arial" w:hAnsi="Arial" w:cs="Arial"/>
        </w:rPr>
        <w:tab/>
      </w:r>
    </w:p>
    <w:p w14:paraId="11D3B76E" w14:textId="77777777" w:rsidR="006F71AD" w:rsidRPr="006F71AD" w:rsidRDefault="006F71AD" w:rsidP="006F71AD">
      <w:pPr>
        <w:pStyle w:val="PlainText"/>
        <w:spacing w:before="62" w:line="276" w:lineRule="auto"/>
        <w:rPr>
          <w:rFonts w:eastAsiaTheme="minorEastAsia" w:cs="Arial"/>
          <w:szCs w:val="22"/>
          <w:lang w:val="en-US"/>
        </w:rPr>
      </w:pPr>
      <w:r w:rsidRPr="006F71AD">
        <w:rPr>
          <w:rFonts w:eastAsiaTheme="minorEastAsia" w:cs="Arial"/>
          <w:i/>
          <w:szCs w:val="22"/>
          <w:lang w:val="en-US"/>
        </w:rPr>
        <w:t>Focus capabilities</w:t>
      </w:r>
      <w:r w:rsidRPr="006F71AD">
        <w:rPr>
          <w:rFonts w:eastAsiaTheme="minorEastAsia" w:cs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0230A3D9" w14:textId="77777777" w:rsidR="006F71AD" w:rsidRPr="006F71AD" w:rsidRDefault="006F71AD" w:rsidP="006F71AD">
      <w:pPr>
        <w:pStyle w:val="PlainText"/>
        <w:spacing w:before="62" w:line="276" w:lineRule="auto"/>
        <w:rPr>
          <w:rFonts w:eastAsiaTheme="minorEastAsia" w:cs="Arial"/>
          <w:szCs w:val="22"/>
          <w:lang w:val="en-US"/>
        </w:rPr>
      </w:pPr>
      <w:r w:rsidRPr="006F71AD">
        <w:rPr>
          <w:rFonts w:eastAsiaTheme="minorEastAsia" w:cs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6F71AD">
        <w:rPr>
          <w:rFonts w:eastAsiaTheme="minorEastAsia" w:cs="Arial"/>
          <w:szCs w:val="22"/>
          <w:lang w:val="en-US"/>
        </w:rPr>
        <w:t>behaviours</w:t>
      </w:r>
      <w:proofErr w:type="spellEnd"/>
      <w:r w:rsidRPr="006F71AD">
        <w:rPr>
          <w:rFonts w:eastAsiaTheme="minorEastAsia" w:cs="Arial"/>
          <w:szCs w:val="22"/>
          <w:lang w:val="en-US"/>
        </w:rPr>
        <w:t xml:space="preserve"> expected at each level.</w:t>
      </w:r>
    </w:p>
    <w:p w14:paraId="1F0A67BE" w14:textId="77777777" w:rsidR="006F71AD" w:rsidRDefault="006F71AD" w:rsidP="006F71AD">
      <w:pPr>
        <w:pStyle w:val="Heading2"/>
      </w:pPr>
      <w:r w:rsidRPr="006F71AD">
        <w:rPr>
          <w:rFonts w:ascii="Arial" w:hAnsi="Arial" w:cs="Arial"/>
        </w:rPr>
        <w:t>Focus capabilities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385"/>
        <w:gridCol w:w="2726"/>
        <w:gridCol w:w="4709"/>
        <w:gridCol w:w="1668"/>
      </w:tblGrid>
      <w:tr w:rsidR="006F71AD" w:rsidRPr="003C7A36" w14:paraId="4CEA179A" w14:textId="77777777" w:rsidTr="00451B7C">
        <w:trPr>
          <w:cantSplit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6D3AA86F" w14:textId="77777777" w:rsidR="006F71AD" w:rsidRPr="003C7A36" w:rsidRDefault="006F71AD" w:rsidP="00451B7C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group/sets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14:paraId="7E5C94F2" w14:textId="77777777" w:rsidR="006F71AD" w:rsidRPr="003C7A36" w:rsidRDefault="006F71AD" w:rsidP="00451B7C">
            <w:pPr>
              <w:rPr>
                <w:sz w:val="20"/>
              </w:rPr>
            </w:pPr>
            <w:r w:rsidRPr="003C7A36">
              <w:rPr>
                <w:b/>
                <w:sz w:val="20"/>
              </w:rPr>
              <w:t>Capability name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14:paraId="40CAF409" w14:textId="77777777" w:rsidR="006F71AD" w:rsidRPr="003C7A36" w:rsidRDefault="006F71AD" w:rsidP="00451B7C">
            <w:pPr>
              <w:rPr>
                <w:sz w:val="20"/>
              </w:rPr>
            </w:pPr>
            <w:proofErr w:type="spellStart"/>
            <w:r w:rsidRPr="003C7A36">
              <w:rPr>
                <w:b/>
                <w:sz w:val="20"/>
              </w:rPr>
              <w:t>Behavioural</w:t>
            </w:r>
            <w:proofErr w:type="spellEnd"/>
            <w:r w:rsidRPr="003C7A36">
              <w:rPr>
                <w:b/>
                <w:sz w:val="20"/>
              </w:rPr>
              <w:t xml:space="preserve"> indicators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4500DB4E" w14:textId="77777777" w:rsidR="006F71AD" w:rsidRPr="00372FE9" w:rsidRDefault="006F71AD" w:rsidP="00451B7C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6F71AD" w:rsidRPr="003C7A36" w14:paraId="050F082B" w14:textId="77777777" w:rsidTr="00451B7C">
        <w:trPr>
          <w:cantSplit/>
        </w:trPr>
        <w:tc>
          <w:tcPr>
            <w:tcW w:w="1385" w:type="dxa"/>
          </w:tcPr>
          <w:p w14:paraId="4B9847BC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EF3A6DA" wp14:editId="4454EB63">
                  <wp:extent cx="749300" cy="749300"/>
                  <wp:effectExtent l="0" t="0" r="0" b="0"/>
                  <wp:docPr id="1481" name="personal-attributes.jpg" descr="personal-attribute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2C04DA81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Manage Self</w:t>
            </w:r>
          </w:p>
          <w:p w14:paraId="513F4D38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Show drive and motivation, an ability to self-reflect and a commitment to learning</w:t>
            </w:r>
          </w:p>
        </w:tc>
        <w:tc>
          <w:tcPr>
            <w:tcW w:w="4709" w:type="dxa"/>
          </w:tcPr>
          <w:p w14:paraId="04824CB1" w14:textId="77777777" w:rsidR="006F71AD" w:rsidRPr="003C7A36" w:rsidRDefault="006F71AD" w:rsidP="006F71AD">
            <w:pPr>
              <w:pStyle w:val="TableBullet"/>
            </w:pPr>
            <w:r w:rsidRPr="003C7A36">
              <w:t>Adapt existing skills to new situations</w:t>
            </w:r>
          </w:p>
          <w:p w14:paraId="15C4D2A2" w14:textId="77777777" w:rsidR="006F71AD" w:rsidRPr="003C7A36" w:rsidRDefault="006F71AD" w:rsidP="006F71AD">
            <w:pPr>
              <w:pStyle w:val="TableBullet"/>
            </w:pPr>
            <w:r w:rsidRPr="003C7A36">
              <w:t>Show commitment to achieving work goals</w:t>
            </w:r>
          </w:p>
          <w:p w14:paraId="3AD14A66" w14:textId="77777777" w:rsidR="006F71AD" w:rsidRPr="003C7A36" w:rsidRDefault="006F71AD" w:rsidP="006F71AD">
            <w:pPr>
              <w:pStyle w:val="TableBullet"/>
            </w:pPr>
            <w:r w:rsidRPr="003C7A36">
              <w:t>Show awareness of own strengths and areas for growth, and develop and apply new skills</w:t>
            </w:r>
          </w:p>
          <w:p w14:paraId="0A1FF1B7" w14:textId="77777777" w:rsidR="006F71AD" w:rsidRPr="003C7A36" w:rsidRDefault="006F71AD" w:rsidP="006F71AD">
            <w:pPr>
              <w:pStyle w:val="TableBullet"/>
            </w:pPr>
            <w:r w:rsidRPr="003C7A36">
              <w:t>Seek feedback from colleagues and stakeholders</w:t>
            </w:r>
          </w:p>
          <w:p w14:paraId="0688B7F9" w14:textId="77777777" w:rsidR="006F71AD" w:rsidRPr="003C7A36" w:rsidRDefault="006F71AD" w:rsidP="006F71AD">
            <w:pPr>
              <w:pStyle w:val="TableBullet"/>
            </w:pPr>
            <w:r w:rsidRPr="003C7A36">
              <w:t>Stay motivated when tasks become difficult</w:t>
            </w:r>
          </w:p>
        </w:tc>
        <w:tc>
          <w:tcPr>
            <w:tcW w:w="1668" w:type="dxa"/>
          </w:tcPr>
          <w:p w14:paraId="460691AA" w14:textId="77777777" w:rsidR="006F71AD" w:rsidRPr="006F0836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C7A36" w14:paraId="5D9D9C89" w14:textId="77777777" w:rsidTr="00451B7C">
        <w:trPr>
          <w:cantSplit/>
        </w:trPr>
        <w:tc>
          <w:tcPr>
            <w:tcW w:w="1385" w:type="dxa"/>
          </w:tcPr>
          <w:p w14:paraId="2CB91232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08D71361" wp14:editId="3E0F1E9F">
                  <wp:extent cx="749300" cy="749300"/>
                  <wp:effectExtent l="0" t="0" r="0" b="0"/>
                  <wp:docPr id="3115" name="personal-attributes.jpg" descr="relationshi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52FBC0F5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Commit to Customer Service</w:t>
            </w:r>
          </w:p>
          <w:p w14:paraId="1F266B12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Provide customer-focused services in line with public sector and </w:t>
            </w:r>
            <w:proofErr w:type="spellStart"/>
            <w:r w:rsidRPr="003C7A36">
              <w:rPr>
                <w:rFonts w:cs="Arial"/>
                <w:color w:val="000000"/>
                <w:sz w:val="20"/>
              </w:rPr>
              <w:t>organisational</w:t>
            </w:r>
            <w:proofErr w:type="spellEnd"/>
            <w:r w:rsidRPr="003C7A36">
              <w:rPr>
                <w:rFonts w:cs="Arial"/>
                <w:color w:val="000000"/>
                <w:sz w:val="20"/>
              </w:rPr>
              <w:t xml:space="preserve"> objectives</w:t>
            </w:r>
          </w:p>
        </w:tc>
        <w:tc>
          <w:tcPr>
            <w:tcW w:w="4709" w:type="dxa"/>
          </w:tcPr>
          <w:p w14:paraId="1FE652E1" w14:textId="77777777" w:rsidR="006F71AD" w:rsidRPr="003C7A36" w:rsidRDefault="006F71AD" w:rsidP="006F71AD">
            <w:pPr>
              <w:pStyle w:val="TableBullet"/>
            </w:pPr>
            <w:r w:rsidRPr="003C7A36">
              <w:t>Focus on providing a positive customer experience</w:t>
            </w:r>
          </w:p>
          <w:p w14:paraId="62064433" w14:textId="77777777" w:rsidR="006F71AD" w:rsidRPr="003C7A36" w:rsidRDefault="006F71AD" w:rsidP="006F71AD">
            <w:pPr>
              <w:pStyle w:val="TableBullet"/>
            </w:pPr>
            <w:r w:rsidRPr="003C7A36">
              <w:t>Support a customer-focused culture in the organisation</w:t>
            </w:r>
          </w:p>
          <w:p w14:paraId="257336CA" w14:textId="77777777" w:rsidR="006F71AD" w:rsidRPr="003C7A36" w:rsidRDefault="006F71AD" w:rsidP="006F71AD">
            <w:pPr>
              <w:pStyle w:val="TableBullet"/>
            </w:pPr>
            <w:r w:rsidRPr="003C7A36">
              <w:t>Demonstrate a thorough knowledge of the services provided and relay this knowledge to customers</w:t>
            </w:r>
          </w:p>
          <w:p w14:paraId="5009AA30" w14:textId="77777777" w:rsidR="006F71AD" w:rsidRPr="003C7A36" w:rsidRDefault="006F71AD" w:rsidP="006F71AD">
            <w:pPr>
              <w:pStyle w:val="TableBullet"/>
            </w:pPr>
            <w:r w:rsidRPr="003C7A36">
              <w:t>Identify and respond quickly to customer needs</w:t>
            </w:r>
          </w:p>
          <w:p w14:paraId="1DD2E63B" w14:textId="77777777" w:rsidR="006F71AD" w:rsidRPr="003C7A36" w:rsidRDefault="006F71AD" w:rsidP="006F71AD">
            <w:pPr>
              <w:pStyle w:val="TableBullet"/>
            </w:pPr>
            <w:r w:rsidRPr="003C7A36">
              <w:t>Consider customer service requirements and develop solutions to meet needs</w:t>
            </w:r>
          </w:p>
          <w:p w14:paraId="3ED72366" w14:textId="77777777" w:rsidR="006F71AD" w:rsidRPr="003C7A36" w:rsidRDefault="006F71AD" w:rsidP="006F71AD">
            <w:pPr>
              <w:pStyle w:val="TableBullet"/>
            </w:pPr>
            <w:r w:rsidRPr="003C7A36">
              <w:t>Resolve complex customer issues and needs</w:t>
            </w:r>
          </w:p>
          <w:p w14:paraId="5E75E236" w14:textId="77777777" w:rsidR="006F71AD" w:rsidRPr="003C7A36" w:rsidRDefault="006F71AD" w:rsidP="006F71AD">
            <w:pPr>
              <w:pStyle w:val="TableBullet"/>
            </w:pPr>
            <w:r w:rsidRPr="003C7A36">
              <w:t>Cooperate across work areas to improve outcomes for customers</w:t>
            </w:r>
          </w:p>
        </w:tc>
        <w:tc>
          <w:tcPr>
            <w:tcW w:w="1668" w:type="dxa"/>
          </w:tcPr>
          <w:p w14:paraId="6B740981" w14:textId="77777777" w:rsidR="006F71AD" w:rsidRPr="006F0836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C7A36" w14:paraId="6C84CA56" w14:textId="77777777" w:rsidTr="00451B7C">
        <w:trPr>
          <w:cantSplit/>
        </w:trPr>
        <w:tc>
          <w:tcPr>
            <w:tcW w:w="1385" w:type="dxa"/>
          </w:tcPr>
          <w:p w14:paraId="028B2B95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65167DF2" wp14:editId="2AEA91FE">
                  <wp:extent cx="749300" cy="749300"/>
                  <wp:effectExtent l="0" t="0" r="0" b="0"/>
                  <wp:docPr id="9521" name="personal-attributes.jpg" descr="result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013B79D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 xml:space="preserve">Plan and </w:t>
            </w:r>
            <w:proofErr w:type="spellStart"/>
            <w:r w:rsidRPr="003C7A36">
              <w:rPr>
                <w:rFonts w:cs="Arial"/>
                <w:b/>
                <w:bCs/>
                <w:color w:val="000000"/>
                <w:sz w:val="20"/>
              </w:rPr>
              <w:t>Prioritise</w:t>
            </w:r>
            <w:proofErr w:type="spellEnd"/>
          </w:p>
          <w:p w14:paraId="7F77DC9F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>Plan to achieve priority outcomes and respond flexibly to changing circumstances</w:t>
            </w:r>
          </w:p>
        </w:tc>
        <w:tc>
          <w:tcPr>
            <w:tcW w:w="4709" w:type="dxa"/>
          </w:tcPr>
          <w:p w14:paraId="3457C7C2" w14:textId="77777777" w:rsidR="006F71AD" w:rsidRPr="003C7A36" w:rsidRDefault="006F71AD" w:rsidP="006F71AD">
            <w:pPr>
              <w:pStyle w:val="TableBullet"/>
            </w:pPr>
            <w:r w:rsidRPr="003C7A36">
              <w:t>Understand the team and unit objectives and align operational activities accordingly</w:t>
            </w:r>
          </w:p>
          <w:p w14:paraId="26972B07" w14:textId="77777777" w:rsidR="006F71AD" w:rsidRPr="003C7A36" w:rsidRDefault="006F71AD" w:rsidP="006F71AD">
            <w:pPr>
              <w:pStyle w:val="TableBullet"/>
            </w:pPr>
            <w:r w:rsidRPr="003C7A36">
              <w:t>Initiate and develop team goals and plans, and use feedback to inform future planning</w:t>
            </w:r>
          </w:p>
          <w:p w14:paraId="105A854F" w14:textId="77777777" w:rsidR="006F71AD" w:rsidRPr="003C7A36" w:rsidRDefault="006F71AD" w:rsidP="006F71AD">
            <w:pPr>
              <w:pStyle w:val="TableBullet"/>
            </w:pPr>
            <w:r w:rsidRPr="003C7A36">
              <w:t>Respond proactively to changing circumstances and adjust plans and schedules when necessary</w:t>
            </w:r>
          </w:p>
          <w:p w14:paraId="7BB8F266" w14:textId="77777777" w:rsidR="006F71AD" w:rsidRPr="003C7A36" w:rsidRDefault="006F71AD" w:rsidP="006F71AD">
            <w:pPr>
              <w:pStyle w:val="TableBullet"/>
            </w:pPr>
            <w:r w:rsidRPr="003C7A36">
              <w:t>Consider the implications of immediate and longer-term organisational issues and how these might affect the achievement of team and unit goals</w:t>
            </w:r>
          </w:p>
          <w:p w14:paraId="013836EF" w14:textId="77777777" w:rsidR="006F71AD" w:rsidRPr="003C7A36" w:rsidRDefault="006F71AD" w:rsidP="006F71AD">
            <w:pPr>
              <w:pStyle w:val="TableBullet"/>
            </w:pPr>
            <w:r w:rsidRPr="003C7A36">
              <w:t>Accommodate and respond with initiative to changing priorities and operating environments</w:t>
            </w:r>
          </w:p>
        </w:tc>
        <w:tc>
          <w:tcPr>
            <w:tcW w:w="1668" w:type="dxa"/>
          </w:tcPr>
          <w:p w14:paraId="64A0164F" w14:textId="77777777" w:rsidR="006F71AD" w:rsidRPr="006F0836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C7A36" w14:paraId="072FBCED" w14:textId="77777777" w:rsidTr="00451B7C">
        <w:trPr>
          <w:cantSplit/>
        </w:trPr>
        <w:tc>
          <w:tcPr>
            <w:tcW w:w="1385" w:type="dxa"/>
          </w:tcPr>
          <w:p w14:paraId="3D53314A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03EF9864" wp14:editId="19B5E303">
                  <wp:extent cx="749300" cy="749300"/>
                  <wp:effectExtent l="0" t="0" r="0" b="0"/>
                  <wp:docPr id="1165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3B96BB06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Finance</w:t>
            </w:r>
          </w:p>
          <w:p w14:paraId="2091B889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Understand and apply financial processes to achieve value for money and </w:t>
            </w:r>
            <w:proofErr w:type="spellStart"/>
            <w:r w:rsidRPr="003C7A36">
              <w:rPr>
                <w:rFonts w:cs="Arial"/>
                <w:color w:val="000000"/>
                <w:sz w:val="20"/>
              </w:rPr>
              <w:t>minimise</w:t>
            </w:r>
            <w:proofErr w:type="spellEnd"/>
            <w:r w:rsidRPr="003C7A36">
              <w:rPr>
                <w:rFonts w:cs="Arial"/>
                <w:color w:val="000000"/>
                <w:sz w:val="20"/>
              </w:rPr>
              <w:t xml:space="preserve"> financial risk</w:t>
            </w:r>
          </w:p>
        </w:tc>
        <w:tc>
          <w:tcPr>
            <w:tcW w:w="4709" w:type="dxa"/>
          </w:tcPr>
          <w:p w14:paraId="11613411" w14:textId="77777777" w:rsidR="006F71AD" w:rsidRPr="003C7A36" w:rsidRDefault="006F71AD" w:rsidP="006F71AD">
            <w:pPr>
              <w:pStyle w:val="TableBullet"/>
            </w:pPr>
            <w:r w:rsidRPr="003C7A36">
              <w:t xml:space="preserve">Understand basic financial terminology, </w:t>
            </w:r>
            <w:proofErr w:type="gramStart"/>
            <w:r w:rsidRPr="003C7A36">
              <w:t>policies</w:t>
            </w:r>
            <w:proofErr w:type="gramEnd"/>
            <w:r w:rsidRPr="003C7A36">
              <w:t xml:space="preserve"> and processes, including the difference between recurrent and capital spending</w:t>
            </w:r>
          </w:p>
          <w:p w14:paraId="591730EA" w14:textId="77777777" w:rsidR="006F71AD" w:rsidRPr="003C7A36" w:rsidRDefault="006F71AD" w:rsidP="006F71AD">
            <w:pPr>
              <w:pStyle w:val="TableBullet"/>
            </w:pPr>
            <w:r w:rsidRPr="003C7A36">
              <w:t>Consider financial implications and value for money in making recommendations and decisions</w:t>
            </w:r>
          </w:p>
          <w:p w14:paraId="69BC5872" w14:textId="77777777" w:rsidR="006F71AD" w:rsidRPr="003C7A36" w:rsidRDefault="006F71AD" w:rsidP="006F71AD">
            <w:pPr>
              <w:pStyle w:val="TableBullet"/>
            </w:pPr>
            <w:r w:rsidRPr="003C7A36">
              <w:t>Understand how financial decisions impact the overall financial position</w:t>
            </w:r>
          </w:p>
          <w:p w14:paraId="799A0CA4" w14:textId="77777777" w:rsidR="006F71AD" w:rsidRPr="003C7A36" w:rsidRDefault="006F71AD" w:rsidP="006F71AD">
            <w:pPr>
              <w:pStyle w:val="TableBullet"/>
            </w:pPr>
            <w:r w:rsidRPr="003C7A36">
              <w:t>Understand and act on financial audit, reporting and compliance obligations</w:t>
            </w:r>
          </w:p>
          <w:p w14:paraId="25E3D9C1" w14:textId="77777777" w:rsidR="006F71AD" w:rsidRPr="003C7A36" w:rsidRDefault="006F71AD" w:rsidP="006F71AD">
            <w:pPr>
              <w:pStyle w:val="TableBullet"/>
            </w:pPr>
            <w:r w:rsidRPr="003C7A36">
              <w:t xml:space="preserve">Display an awareness of financial risk, reputational </w:t>
            </w:r>
            <w:proofErr w:type="gramStart"/>
            <w:r w:rsidRPr="003C7A36">
              <w:t>risk</w:t>
            </w:r>
            <w:proofErr w:type="gramEnd"/>
            <w:r w:rsidRPr="003C7A36">
              <w:t xml:space="preserve"> and exposure, and propose solutions to address these</w:t>
            </w:r>
          </w:p>
        </w:tc>
        <w:tc>
          <w:tcPr>
            <w:tcW w:w="1668" w:type="dxa"/>
          </w:tcPr>
          <w:p w14:paraId="3125836D" w14:textId="77777777" w:rsidR="006F71AD" w:rsidRPr="006F0836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C7A36" w14:paraId="009FE2F4" w14:textId="77777777" w:rsidTr="00451B7C">
        <w:trPr>
          <w:cantSplit/>
        </w:trPr>
        <w:tc>
          <w:tcPr>
            <w:tcW w:w="1385" w:type="dxa"/>
          </w:tcPr>
          <w:p w14:paraId="4D6F78C9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1D2A3C8" wp14:editId="38E22A9D">
                  <wp:extent cx="749300" cy="749300"/>
                  <wp:effectExtent l="0" t="0" r="0" b="0"/>
                  <wp:docPr id="7571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487982B2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Technology</w:t>
            </w:r>
          </w:p>
          <w:p w14:paraId="7897D208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Understand and use available technologies to </w:t>
            </w:r>
            <w:proofErr w:type="spellStart"/>
            <w:r w:rsidRPr="003C7A36">
              <w:rPr>
                <w:rFonts w:cs="Arial"/>
                <w:color w:val="000000"/>
                <w:sz w:val="20"/>
              </w:rPr>
              <w:t>maximise</w:t>
            </w:r>
            <w:proofErr w:type="spellEnd"/>
            <w:r w:rsidRPr="003C7A36">
              <w:rPr>
                <w:rFonts w:cs="Arial"/>
                <w:color w:val="000000"/>
                <w:sz w:val="20"/>
              </w:rPr>
              <w:t xml:space="preserve"> efficiencies and effectiveness</w:t>
            </w:r>
          </w:p>
        </w:tc>
        <w:tc>
          <w:tcPr>
            <w:tcW w:w="4709" w:type="dxa"/>
          </w:tcPr>
          <w:p w14:paraId="73618845" w14:textId="77777777" w:rsidR="006F71AD" w:rsidRPr="003C7A36" w:rsidRDefault="006F71AD" w:rsidP="006F71AD">
            <w:pPr>
              <w:pStyle w:val="TableBullet"/>
            </w:pPr>
            <w:r w:rsidRPr="003C7A36">
              <w:t>Demonstrate a sound understanding of technology relevant to the work unit, and identify and select the most appropriate technology for assigned tasks</w:t>
            </w:r>
          </w:p>
          <w:p w14:paraId="7FB5B992" w14:textId="77777777" w:rsidR="006F71AD" w:rsidRPr="003C7A36" w:rsidRDefault="006F71AD" w:rsidP="006F71AD">
            <w:pPr>
              <w:pStyle w:val="TableBullet"/>
            </w:pPr>
            <w:r w:rsidRPr="003C7A36">
              <w:t>Use available technology to improve individual performance and effectiveness</w:t>
            </w:r>
          </w:p>
          <w:p w14:paraId="799D15A4" w14:textId="77777777" w:rsidR="006F71AD" w:rsidRPr="003C7A36" w:rsidRDefault="006F71AD" w:rsidP="006F71AD">
            <w:pPr>
              <w:pStyle w:val="TableBullet"/>
            </w:pPr>
            <w:r w:rsidRPr="003C7A36">
              <w:t>Make effective use of records, information and knowledge management functions and systems</w:t>
            </w:r>
          </w:p>
          <w:p w14:paraId="1A541B4F" w14:textId="77777777" w:rsidR="006F71AD" w:rsidRPr="003C7A36" w:rsidRDefault="006F71AD" w:rsidP="006F71AD">
            <w:pPr>
              <w:pStyle w:val="TableBullet"/>
            </w:pPr>
            <w:r w:rsidRPr="003C7A36">
              <w:t>Support the implementation of systems improvement initiatives, and the introduction and roll-out of new technologies</w:t>
            </w:r>
          </w:p>
        </w:tc>
        <w:tc>
          <w:tcPr>
            <w:tcW w:w="1668" w:type="dxa"/>
          </w:tcPr>
          <w:p w14:paraId="27A85A60" w14:textId="77777777" w:rsidR="006F71AD" w:rsidRPr="006F0836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C7A36" w14:paraId="37CDC176" w14:textId="77777777" w:rsidTr="00451B7C">
        <w:trPr>
          <w:cantSplit/>
        </w:trPr>
        <w:tc>
          <w:tcPr>
            <w:tcW w:w="1385" w:type="dxa"/>
          </w:tcPr>
          <w:p w14:paraId="10D26876" w14:textId="77777777" w:rsidR="006F71AD" w:rsidRPr="003C7A36" w:rsidRDefault="006F71AD" w:rsidP="00451B7C">
            <w:pPr>
              <w:jc w:val="center"/>
              <w:rPr>
                <w:noProof/>
                <w:sz w:val="20"/>
                <w:lang w:eastAsia="en-AU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789A5B8" wp14:editId="56A77822">
                  <wp:extent cx="749300" cy="749300"/>
                  <wp:effectExtent l="0" t="0" r="0" b="0"/>
                  <wp:docPr id="3986" name="personal-attributes.jpg" descr="business-enabler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al-attributes.jpg" descr="Personal attributes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5" cy="75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2FE24B9" w14:textId="77777777" w:rsidR="006F71AD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b/>
                <w:bCs/>
                <w:color w:val="000000"/>
                <w:sz w:val="20"/>
              </w:rPr>
              <w:t>Project Management</w:t>
            </w:r>
          </w:p>
          <w:p w14:paraId="1AD3B8D8" w14:textId="77777777" w:rsidR="006F71AD" w:rsidRPr="00667FCB" w:rsidRDefault="006F71AD" w:rsidP="00451B7C">
            <w:pPr>
              <w:rPr>
                <w:rFonts w:cs="Arial"/>
                <w:color w:val="000000"/>
                <w:sz w:val="20"/>
              </w:rPr>
            </w:pPr>
            <w:r w:rsidRPr="003C7A36">
              <w:rPr>
                <w:rFonts w:cs="Arial"/>
                <w:color w:val="000000"/>
                <w:sz w:val="20"/>
              </w:rPr>
              <w:t xml:space="preserve">Understand and apply effective planning, </w:t>
            </w:r>
            <w:proofErr w:type="gramStart"/>
            <w:r w:rsidRPr="003C7A36">
              <w:rPr>
                <w:rFonts w:cs="Arial"/>
                <w:color w:val="000000"/>
                <w:sz w:val="20"/>
              </w:rPr>
              <w:t>coordination</w:t>
            </w:r>
            <w:proofErr w:type="gramEnd"/>
            <w:r w:rsidRPr="003C7A36">
              <w:rPr>
                <w:rFonts w:cs="Arial"/>
                <w:color w:val="000000"/>
                <w:sz w:val="20"/>
              </w:rPr>
              <w:t xml:space="preserve"> and control methods</w:t>
            </w:r>
          </w:p>
        </w:tc>
        <w:tc>
          <w:tcPr>
            <w:tcW w:w="4709" w:type="dxa"/>
          </w:tcPr>
          <w:p w14:paraId="4766FA6E" w14:textId="77777777" w:rsidR="006F71AD" w:rsidRPr="003C7A36" w:rsidRDefault="006F71AD" w:rsidP="006F71AD">
            <w:pPr>
              <w:pStyle w:val="TableBullet"/>
            </w:pPr>
            <w:r w:rsidRPr="003C7A36">
              <w:t>Understand project goals, steps to be undertaken and expected outcomes</w:t>
            </w:r>
          </w:p>
          <w:p w14:paraId="54A21E22" w14:textId="77777777" w:rsidR="006F71AD" w:rsidRPr="003C7A36" w:rsidRDefault="006F71AD" w:rsidP="006F71AD">
            <w:pPr>
              <w:pStyle w:val="TableBullet"/>
            </w:pPr>
            <w:r w:rsidRPr="003C7A36">
              <w:t>Plan and deliver tasks in line with agreed project milestones and timeframes</w:t>
            </w:r>
          </w:p>
          <w:p w14:paraId="6A6AE5D3" w14:textId="77777777" w:rsidR="006F71AD" w:rsidRPr="003C7A36" w:rsidRDefault="006F71AD" w:rsidP="006F71AD">
            <w:pPr>
              <w:pStyle w:val="TableBullet"/>
            </w:pPr>
            <w:r w:rsidRPr="003C7A36">
              <w:t>Check progress against agreed milestones and timeframes, and seek help to overcome barriers</w:t>
            </w:r>
          </w:p>
          <w:p w14:paraId="21FFC9F0" w14:textId="77777777" w:rsidR="006F71AD" w:rsidRPr="003C7A36" w:rsidRDefault="006F71AD" w:rsidP="006F71AD">
            <w:pPr>
              <w:pStyle w:val="TableBullet"/>
            </w:pPr>
            <w:r w:rsidRPr="003C7A36">
              <w:t>Participate in planning and provide feedback on progress and potential improvements to project processes</w:t>
            </w:r>
          </w:p>
        </w:tc>
        <w:tc>
          <w:tcPr>
            <w:tcW w:w="1668" w:type="dxa"/>
          </w:tcPr>
          <w:p w14:paraId="6CF2C072" w14:textId="77777777" w:rsidR="006F71AD" w:rsidRPr="006F0836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</w:tbl>
    <w:p w14:paraId="6B83A302" w14:textId="77777777" w:rsidR="006F71AD" w:rsidRDefault="006F71AD" w:rsidP="006F71AD"/>
    <w:p w14:paraId="34116715" w14:textId="77777777" w:rsidR="006F71AD" w:rsidRDefault="006F71AD" w:rsidP="006F71AD"/>
    <w:p w14:paraId="1AAC6513" w14:textId="77777777" w:rsidR="006F71AD" w:rsidRPr="006F71AD" w:rsidRDefault="006F71AD" w:rsidP="006F71AD">
      <w:pPr>
        <w:pStyle w:val="Heading2"/>
        <w:rPr>
          <w:rFonts w:ascii="Arial" w:hAnsi="Arial" w:cs="Arial"/>
        </w:rPr>
      </w:pPr>
      <w:r w:rsidRPr="006F71AD">
        <w:rPr>
          <w:rFonts w:ascii="Arial" w:hAnsi="Arial" w:cs="Arial"/>
        </w:rPr>
        <w:t>Complementary capabilities</w:t>
      </w:r>
    </w:p>
    <w:p w14:paraId="62AE5893" w14:textId="77777777" w:rsidR="006F71AD" w:rsidRPr="003927AE" w:rsidRDefault="006F71AD" w:rsidP="006F71AD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i/>
          <w:szCs w:val="22"/>
          <w:lang w:val="en-US"/>
        </w:rPr>
        <w:t>Complementary capabilities</w:t>
      </w:r>
      <w:r w:rsidRPr="003927AE">
        <w:rPr>
          <w:rFonts w:eastAsiaTheme="minorEastAsia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5588F4F7" w14:textId="77777777" w:rsidR="006F71AD" w:rsidRDefault="006F71AD" w:rsidP="006F71AD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  <w:r w:rsidRPr="003927AE">
        <w:rPr>
          <w:rFonts w:eastAsiaTheme="minorEastAsia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022A8159" w14:textId="77777777" w:rsidR="006F71AD" w:rsidRDefault="006F71AD" w:rsidP="006F71AD">
      <w:pPr>
        <w:pStyle w:val="PlainText"/>
        <w:spacing w:before="62" w:line="276" w:lineRule="auto"/>
        <w:contextualSpacing/>
        <w:rPr>
          <w:rFonts w:eastAsiaTheme="minorEastAsia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SC_ComplementaryCapabilityFrameworkTable"/>
      </w:tblPr>
      <w:tblGrid>
        <w:gridCol w:w="1275"/>
        <w:gridCol w:w="2688"/>
        <w:gridCol w:w="4836"/>
        <w:gridCol w:w="1667"/>
      </w:tblGrid>
      <w:tr w:rsidR="006F71AD" w:rsidRPr="00372FE9" w14:paraId="1E5754E3" w14:textId="77777777" w:rsidTr="00451B7C">
        <w:trPr>
          <w:cantSplit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3B0F01A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group/sets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5F7D4D7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Capability name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2FACF9D9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b/>
                <w:sz w:val="20"/>
              </w:rPr>
              <w:t>Description</w:t>
            </w:r>
          </w:p>
        </w:tc>
        <w:tc>
          <w:tcPr>
            <w:tcW w:w="1668" w:type="dxa"/>
            <w:shd w:val="clear" w:color="auto" w:fill="BFBFBF" w:themeFill="background1" w:themeFillShade="BF"/>
          </w:tcPr>
          <w:p w14:paraId="19F9C716" w14:textId="77777777" w:rsidR="006F71AD" w:rsidRPr="00372FE9" w:rsidRDefault="006F71AD" w:rsidP="00451B7C">
            <w:pPr>
              <w:rPr>
                <w:b/>
                <w:bCs/>
                <w:sz w:val="20"/>
              </w:rPr>
            </w:pPr>
            <w:r w:rsidRPr="00372FE9">
              <w:rPr>
                <w:b/>
                <w:bCs/>
                <w:sz w:val="20"/>
              </w:rPr>
              <w:t>Level</w:t>
            </w:r>
          </w:p>
        </w:tc>
      </w:tr>
      <w:tr w:rsidR="006F71AD" w:rsidRPr="00372FE9" w14:paraId="73F25A3E" w14:textId="77777777" w:rsidTr="00451B7C">
        <w:trPr>
          <w:cantSplit/>
        </w:trPr>
        <w:tc>
          <w:tcPr>
            <w:tcW w:w="1276" w:type="dxa"/>
          </w:tcPr>
          <w:p w14:paraId="17603D4B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71B88697" wp14:editId="4F1051AE">
                  <wp:extent cx="416966" cy="416966"/>
                  <wp:effectExtent l="0" t="0" r="2540" b="2540"/>
                  <wp:docPr id="5621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21C1BE5" w14:textId="77777777" w:rsidR="006F71AD" w:rsidRPr="00372FE9" w:rsidRDefault="006F71AD" w:rsidP="00451B7C">
            <w:pPr>
              <w:pStyle w:val="TableText"/>
            </w:pPr>
            <w:r w:rsidRPr="00372FE9">
              <w:t>Display Resilience and Courage</w:t>
            </w:r>
          </w:p>
        </w:tc>
        <w:tc>
          <w:tcPr>
            <w:tcW w:w="4851" w:type="dxa"/>
          </w:tcPr>
          <w:p w14:paraId="6B66FC20" w14:textId="77777777" w:rsidR="006F71AD" w:rsidRPr="00372FE9" w:rsidRDefault="006F71AD" w:rsidP="00451B7C">
            <w:pPr>
              <w:pStyle w:val="TableText"/>
            </w:pPr>
            <w:r w:rsidRPr="00372FE9">
              <w:t>Be open and honest, prepared to express your views, and willing to accept and commit to change</w:t>
            </w:r>
          </w:p>
        </w:tc>
        <w:tc>
          <w:tcPr>
            <w:tcW w:w="1668" w:type="dxa"/>
          </w:tcPr>
          <w:p w14:paraId="68E352F4" w14:textId="77777777" w:rsidR="006F71AD" w:rsidRPr="00372FE9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  <w:tr w:rsidR="006F71AD" w:rsidRPr="00372FE9" w14:paraId="09A73822" w14:textId="77777777" w:rsidTr="00451B7C">
        <w:trPr>
          <w:cantSplit/>
        </w:trPr>
        <w:tc>
          <w:tcPr>
            <w:tcW w:w="1276" w:type="dxa"/>
          </w:tcPr>
          <w:p w14:paraId="337CE32D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401A5FBF" wp14:editId="4ED7EC91">
                  <wp:extent cx="416966" cy="416966"/>
                  <wp:effectExtent l="0" t="0" r="2540" b="2540"/>
                  <wp:docPr id="2036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924097E" w14:textId="77777777" w:rsidR="006F71AD" w:rsidRPr="00372FE9" w:rsidRDefault="006F71AD" w:rsidP="00451B7C">
            <w:pPr>
              <w:pStyle w:val="TableText"/>
            </w:pPr>
            <w:r w:rsidRPr="00372FE9">
              <w:t>Act with Integrity</w:t>
            </w:r>
          </w:p>
        </w:tc>
        <w:tc>
          <w:tcPr>
            <w:tcW w:w="4851" w:type="dxa"/>
          </w:tcPr>
          <w:p w14:paraId="568CFFF0" w14:textId="77777777" w:rsidR="006F71AD" w:rsidRPr="00372FE9" w:rsidRDefault="006F71AD" w:rsidP="00451B7C">
            <w:pPr>
              <w:pStyle w:val="TableText"/>
            </w:pPr>
            <w:r w:rsidRPr="00372FE9">
              <w:t>Be ethical and professional, and uphold and promote the public sector values</w:t>
            </w:r>
          </w:p>
        </w:tc>
        <w:tc>
          <w:tcPr>
            <w:tcW w:w="1668" w:type="dxa"/>
          </w:tcPr>
          <w:p w14:paraId="7A4379DE" w14:textId="77777777" w:rsidR="006F71AD" w:rsidRPr="00372FE9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72FE9" w14:paraId="23316CC3" w14:textId="77777777" w:rsidTr="00451B7C">
        <w:trPr>
          <w:cantSplit/>
        </w:trPr>
        <w:tc>
          <w:tcPr>
            <w:tcW w:w="1276" w:type="dxa"/>
          </w:tcPr>
          <w:p w14:paraId="6F2114D7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4C9B49C5" wp14:editId="7C69F543">
                  <wp:extent cx="416966" cy="416966"/>
                  <wp:effectExtent l="0" t="0" r="2540" b="2540"/>
                  <wp:docPr id="8442" name="personal-attributes.jpg" descr="personal-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329678D" w14:textId="77777777" w:rsidR="006F71AD" w:rsidRPr="00372FE9" w:rsidRDefault="006F71AD" w:rsidP="00451B7C">
            <w:pPr>
              <w:pStyle w:val="TableText"/>
            </w:pPr>
            <w:r w:rsidRPr="00372FE9">
              <w:t>Value Diversity and Inclusion</w:t>
            </w:r>
          </w:p>
        </w:tc>
        <w:tc>
          <w:tcPr>
            <w:tcW w:w="4851" w:type="dxa"/>
          </w:tcPr>
          <w:p w14:paraId="46767858" w14:textId="77777777" w:rsidR="006F71AD" w:rsidRPr="00372FE9" w:rsidRDefault="006F71AD" w:rsidP="00451B7C">
            <w:pPr>
              <w:pStyle w:val="TableText"/>
            </w:pPr>
            <w:r w:rsidRPr="00372FE9">
              <w:t xml:space="preserve">Demonstrate inclusive behaviour and show respect for diverse backgrounds, </w:t>
            </w:r>
            <w:proofErr w:type="gramStart"/>
            <w:r w:rsidRPr="00372FE9">
              <w:t>experiences</w:t>
            </w:r>
            <w:proofErr w:type="gramEnd"/>
            <w:r w:rsidRPr="00372FE9">
              <w:t xml:space="preserve"> and perspectives</w:t>
            </w:r>
          </w:p>
        </w:tc>
        <w:tc>
          <w:tcPr>
            <w:tcW w:w="1668" w:type="dxa"/>
          </w:tcPr>
          <w:p w14:paraId="49F3A5EE" w14:textId="77777777" w:rsidR="006F71AD" w:rsidRPr="00372FE9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  <w:tr w:rsidR="006F71AD" w:rsidRPr="00372FE9" w14:paraId="4E164E08" w14:textId="77777777" w:rsidTr="00451B7C">
        <w:trPr>
          <w:cantSplit/>
        </w:trPr>
        <w:tc>
          <w:tcPr>
            <w:tcW w:w="1276" w:type="dxa"/>
          </w:tcPr>
          <w:p w14:paraId="3A262B63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07F2FE5C" wp14:editId="1014BC02">
                  <wp:extent cx="416966" cy="416966"/>
                  <wp:effectExtent l="0" t="0" r="2540" b="2540"/>
                  <wp:docPr id="87" name="personal-attribute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55B57CB" w14:textId="77777777" w:rsidR="006F71AD" w:rsidRPr="00372FE9" w:rsidRDefault="006F71AD" w:rsidP="00451B7C">
            <w:pPr>
              <w:pStyle w:val="TableText"/>
            </w:pPr>
            <w:r w:rsidRPr="00372FE9">
              <w:t>Communicate Effectively</w:t>
            </w:r>
          </w:p>
        </w:tc>
        <w:tc>
          <w:tcPr>
            <w:tcW w:w="4851" w:type="dxa"/>
          </w:tcPr>
          <w:p w14:paraId="7C43F6FC" w14:textId="77777777" w:rsidR="006F71AD" w:rsidRPr="00372FE9" w:rsidRDefault="006F71AD" w:rsidP="00451B7C">
            <w:pPr>
              <w:pStyle w:val="TableText"/>
            </w:pPr>
            <w:r w:rsidRPr="00372FE9">
              <w:t>Communicate clearly, actively listen to others, and respond with understanding and respect</w:t>
            </w:r>
          </w:p>
        </w:tc>
        <w:tc>
          <w:tcPr>
            <w:tcW w:w="1668" w:type="dxa"/>
          </w:tcPr>
          <w:p w14:paraId="5667257F" w14:textId="77777777" w:rsidR="006F71AD" w:rsidRPr="00372FE9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72FE9" w14:paraId="428ADE5E" w14:textId="77777777" w:rsidTr="00451B7C">
        <w:trPr>
          <w:cantSplit/>
        </w:trPr>
        <w:tc>
          <w:tcPr>
            <w:tcW w:w="1276" w:type="dxa"/>
          </w:tcPr>
          <w:p w14:paraId="48BC5B07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067D4F21" wp14:editId="10515386">
                  <wp:extent cx="416966" cy="416966"/>
                  <wp:effectExtent l="0" t="0" r="2540" b="2540"/>
                  <wp:docPr id="6492" name="personal-attribute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CFCF860" w14:textId="77777777" w:rsidR="006F71AD" w:rsidRPr="00372FE9" w:rsidRDefault="006F71AD" w:rsidP="00451B7C">
            <w:pPr>
              <w:pStyle w:val="TableText"/>
            </w:pPr>
            <w:r w:rsidRPr="00372FE9">
              <w:t>Work Collaboratively</w:t>
            </w:r>
          </w:p>
        </w:tc>
        <w:tc>
          <w:tcPr>
            <w:tcW w:w="4851" w:type="dxa"/>
          </w:tcPr>
          <w:p w14:paraId="0FD17D1B" w14:textId="77777777" w:rsidR="006F71AD" w:rsidRPr="00372FE9" w:rsidRDefault="006F71AD" w:rsidP="00451B7C">
            <w:pPr>
              <w:pStyle w:val="TableText"/>
            </w:pPr>
            <w:r w:rsidRPr="00372FE9">
              <w:t>Collaborate with others and value their contribution</w:t>
            </w:r>
          </w:p>
        </w:tc>
        <w:tc>
          <w:tcPr>
            <w:tcW w:w="1668" w:type="dxa"/>
          </w:tcPr>
          <w:p w14:paraId="72B91C98" w14:textId="77777777" w:rsidR="006F71AD" w:rsidRPr="00372FE9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72FE9" w14:paraId="772CDE04" w14:textId="77777777" w:rsidTr="00451B7C">
        <w:trPr>
          <w:cantSplit/>
        </w:trPr>
        <w:tc>
          <w:tcPr>
            <w:tcW w:w="1276" w:type="dxa"/>
          </w:tcPr>
          <w:p w14:paraId="64818C65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1AFDE771" wp14:editId="19A49087">
                  <wp:extent cx="416966" cy="416966"/>
                  <wp:effectExtent l="0" t="0" r="2540" b="2540"/>
                  <wp:docPr id="8127" name="personal-attribute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8F3ED22" w14:textId="77777777" w:rsidR="006F71AD" w:rsidRPr="00372FE9" w:rsidRDefault="006F71AD" w:rsidP="00451B7C">
            <w:pPr>
              <w:pStyle w:val="TableText"/>
            </w:pPr>
            <w:r w:rsidRPr="00372FE9">
              <w:t xml:space="preserve">Influence and </w:t>
            </w:r>
            <w:proofErr w:type="gramStart"/>
            <w:r w:rsidRPr="00372FE9">
              <w:t>Negotiate</w:t>
            </w:r>
            <w:proofErr w:type="gramEnd"/>
          </w:p>
        </w:tc>
        <w:tc>
          <w:tcPr>
            <w:tcW w:w="4851" w:type="dxa"/>
          </w:tcPr>
          <w:p w14:paraId="20DD2784" w14:textId="77777777" w:rsidR="006F71AD" w:rsidRPr="00372FE9" w:rsidRDefault="006F71AD" w:rsidP="00451B7C">
            <w:pPr>
              <w:pStyle w:val="TableText"/>
            </w:pPr>
            <w:r w:rsidRPr="00372FE9">
              <w:t>Gain consensus and commitment from others, and resolve issues and conflicts</w:t>
            </w:r>
          </w:p>
        </w:tc>
        <w:tc>
          <w:tcPr>
            <w:tcW w:w="1668" w:type="dxa"/>
          </w:tcPr>
          <w:p w14:paraId="5F41B796" w14:textId="77777777" w:rsidR="006F71AD" w:rsidRPr="00372FE9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72FE9" w14:paraId="0FC42CC4" w14:textId="77777777" w:rsidTr="00451B7C">
        <w:trPr>
          <w:cantSplit/>
        </w:trPr>
        <w:tc>
          <w:tcPr>
            <w:tcW w:w="1276" w:type="dxa"/>
          </w:tcPr>
          <w:p w14:paraId="0F4E2835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949408A" wp14:editId="6A3DE27F">
                  <wp:extent cx="416966" cy="416966"/>
                  <wp:effectExtent l="0" t="0" r="2540" b="2540"/>
                  <wp:docPr id="4542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4692A55" w14:textId="77777777" w:rsidR="006F71AD" w:rsidRPr="00372FE9" w:rsidRDefault="006F71AD" w:rsidP="00451B7C">
            <w:pPr>
              <w:pStyle w:val="TableText"/>
            </w:pPr>
            <w:r w:rsidRPr="00372FE9">
              <w:t>Deliver Results</w:t>
            </w:r>
          </w:p>
        </w:tc>
        <w:tc>
          <w:tcPr>
            <w:tcW w:w="4851" w:type="dxa"/>
          </w:tcPr>
          <w:p w14:paraId="1189D7BF" w14:textId="77777777" w:rsidR="006F71AD" w:rsidRPr="00372FE9" w:rsidRDefault="006F71AD" w:rsidP="00451B7C">
            <w:pPr>
              <w:pStyle w:val="TableText"/>
            </w:pPr>
            <w:r w:rsidRPr="00372FE9">
              <w:t>Achieve results through the efficient use of resources and a commitment to quality outcomes</w:t>
            </w:r>
          </w:p>
        </w:tc>
        <w:tc>
          <w:tcPr>
            <w:tcW w:w="1668" w:type="dxa"/>
          </w:tcPr>
          <w:p w14:paraId="70267E32" w14:textId="77777777" w:rsidR="006F71AD" w:rsidRPr="00372FE9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  <w:tr w:rsidR="006F71AD" w:rsidRPr="00372FE9" w14:paraId="34E0C848" w14:textId="77777777" w:rsidTr="00451B7C">
        <w:trPr>
          <w:cantSplit/>
        </w:trPr>
        <w:tc>
          <w:tcPr>
            <w:tcW w:w="1276" w:type="dxa"/>
          </w:tcPr>
          <w:p w14:paraId="73F6248E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326FF58" wp14:editId="6A1ED1AC">
                  <wp:extent cx="416966" cy="416966"/>
                  <wp:effectExtent l="0" t="0" r="2540" b="2540"/>
                  <wp:docPr id="958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44E5551F" w14:textId="77777777" w:rsidR="006F71AD" w:rsidRPr="00372FE9" w:rsidRDefault="006F71AD" w:rsidP="00451B7C">
            <w:pPr>
              <w:pStyle w:val="TableText"/>
            </w:pPr>
            <w:r w:rsidRPr="00372FE9">
              <w:t>Think and Solve Problems</w:t>
            </w:r>
          </w:p>
        </w:tc>
        <w:tc>
          <w:tcPr>
            <w:tcW w:w="4851" w:type="dxa"/>
          </w:tcPr>
          <w:p w14:paraId="2CFF51B7" w14:textId="77777777" w:rsidR="006F71AD" w:rsidRPr="00372FE9" w:rsidRDefault="006F71AD" w:rsidP="00451B7C">
            <w:pPr>
              <w:pStyle w:val="TableText"/>
            </w:pPr>
            <w:r w:rsidRPr="00372FE9">
              <w:t xml:space="preserve">Think, </w:t>
            </w:r>
            <w:proofErr w:type="gramStart"/>
            <w:r w:rsidRPr="00372FE9">
              <w:t>analyse</w:t>
            </w:r>
            <w:proofErr w:type="gramEnd"/>
            <w:r w:rsidRPr="00372FE9">
              <w:t xml:space="preserve"> and consider the broader context to develop practical solutions</w:t>
            </w:r>
          </w:p>
        </w:tc>
        <w:tc>
          <w:tcPr>
            <w:tcW w:w="1668" w:type="dxa"/>
          </w:tcPr>
          <w:p w14:paraId="59EEAFF2" w14:textId="77777777" w:rsidR="006F71AD" w:rsidRPr="00372FE9" w:rsidRDefault="006F71AD" w:rsidP="00451B7C">
            <w:pPr>
              <w:pStyle w:val="TableText"/>
            </w:pPr>
            <w:r w:rsidRPr="004C659E">
              <w:t>Intermediate</w:t>
            </w:r>
          </w:p>
        </w:tc>
      </w:tr>
      <w:tr w:rsidR="006F71AD" w:rsidRPr="00372FE9" w14:paraId="44C9644E" w14:textId="77777777" w:rsidTr="00451B7C">
        <w:trPr>
          <w:cantSplit/>
        </w:trPr>
        <w:tc>
          <w:tcPr>
            <w:tcW w:w="1276" w:type="dxa"/>
          </w:tcPr>
          <w:p w14:paraId="2E70452E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3B5E933E" wp14:editId="3643909C">
                  <wp:extent cx="416966" cy="416966"/>
                  <wp:effectExtent l="0" t="0" r="2540" b="2540"/>
                  <wp:docPr id="2592" name="personal-attribute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41AB314" w14:textId="77777777" w:rsidR="006F71AD" w:rsidRPr="00372FE9" w:rsidRDefault="006F71AD" w:rsidP="00451B7C">
            <w:pPr>
              <w:pStyle w:val="TableText"/>
            </w:pPr>
            <w:r w:rsidRPr="00372FE9">
              <w:t>Demonstrate Accountability</w:t>
            </w:r>
          </w:p>
        </w:tc>
        <w:tc>
          <w:tcPr>
            <w:tcW w:w="4851" w:type="dxa"/>
          </w:tcPr>
          <w:p w14:paraId="2F54D70A" w14:textId="77777777" w:rsidR="006F71AD" w:rsidRPr="00372FE9" w:rsidRDefault="006F71AD" w:rsidP="00451B7C">
            <w:pPr>
              <w:pStyle w:val="TableText"/>
            </w:pPr>
            <w:r w:rsidRPr="00372FE9">
              <w:t xml:space="preserve">Be proactive and responsible for own actions, and adhere to legislation, </w:t>
            </w:r>
            <w:proofErr w:type="gramStart"/>
            <w:r w:rsidRPr="00372FE9">
              <w:t>policy</w:t>
            </w:r>
            <w:proofErr w:type="gramEnd"/>
            <w:r w:rsidRPr="00372FE9">
              <w:t xml:space="preserve"> and guidelines</w:t>
            </w:r>
          </w:p>
        </w:tc>
        <w:tc>
          <w:tcPr>
            <w:tcW w:w="1668" w:type="dxa"/>
          </w:tcPr>
          <w:p w14:paraId="64CA6D20" w14:textId="77777777" w:rsidR="006F71AD" w:rsidRPr="00372FE9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  <w:tr w:rsidR="006F71AD" w:rsidRPr="00372FE9" w14:paraId="2FB2FCDC" w14:textId="77777777" w:rsidTr="00451B7C">
        <w:trPr>
          <w:cantSplit/>
        </w:trPr>
        <w:tc>
          <w:tcPr>
            <w:tcW w:w="1276" w:type="dxa"/>
          </w:tcPr>
          <w:p w14:paraId="7D19CB97" w14:textId="77777777" w:rsidR="006F71AD" w:rsidRPr="00372FE9" w:rsidRDefault="006F71AD" w:rsidP="00451B7C">
            <w:pPr>
              <w:rPr>
                <w:sz w:val="20"/>
              </w:rPr>
            </w:pPr>
            <w:r w:rsidRPr="00372FE9">
              <w:rPr>
                <w:noProof/>
                <w:sz w:val="20"/>
                <w:lang w:eastAsia="en-AU"/>
              </w:rPr>
              <w:drawing>
                <wp:inline distT="0" distB="0" distL="0" distR="0" wp14:anchorId="590F7767" wp14:editId="4164963D">
                  <wp:extent cx="416966" cy="416966"/>
                  <wp:effectExtent l="0" t="0" r="2540" b="2540"/>
                  <wp:docPr id="8998" name="personal-attributes.jpg" descr="business-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rsonal-attributes.jpg" descr="Personal Attrib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2" cy="42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1A45617" w14:textId="77777777" w:rsidR="006F71AD" w:rsidRPr="00372FE9" w:rsidRDefault="006F71AD" w:rsidP="00451B7C">
            <w:pPr>
              <w:pStyle w:val="TableText"/>
            </w:pPr>
            <w:r w:rsidRPr="00372FE9">
              <w:t>Procurement and Contract Management</w:t>
            </w:r>
          </w:p>
        </w:tc>
        <w:tc>
          <w:tcPr>
            <w:tcW w:w="4851" w:type="dxa"/>
          </w:tcPr>
          <w:p w14:paraId="7887A278" w14:textId="77777777" w:rsidR="006F71AD" w:rsidRPr="00372FE9" w:rsidRDefault="006F71AD" w:rsidP="00451B7C">
            <w:pPr>
              <w:pStyle w:val="TableText"/>
            </w:pPr>
            <w:r w:rsidRPr="00372FE9">
              <w:t>Understand and apply procurement processes to ensure effective purchasing and contract performance</w:t>
            </w:r>
          </w:p>
        </w:tc>
        <w:tc>
          <w:tcPr>
            <w:tcW w:w="1668" w:type="dxa"/>
          </w:tcPr>
          <w:p w14:paraId="0670C7F0" w14:textId="77777777" w:rsidR="006F71AD" w:rsidRPr="00372FE9" w:rsidRDefault="006F71AD" w:rsidP="00451B7C">
            <w:pPr>
              <w:pStyle w:val="TableText"/>
            </w:pPr>
            <w:r w:rsidRPr="004C659E">
              <w:t>Foundational</w:t>
            </w:r>
          </w:p>
        </w:tc>
      </w:tr>
      <w:bookmarkEnd w:id="2"/>
      <w:bookmarkEnd w:id="3"/>
      <w:bookmarkEnd w:id="4"/>
      <w:bookmarkEnd w:id="5"/>
    </w:tbl>
    <w:p w14:paraId="009B4005" w14:textId="77777777" w:rsidR="006F71AD" w:rsidRDefault="006F71AD" w:rsidP="006F71AD">
      <w:pPr>
        <w:contextualSpacing/>
      </w:pPr>
    </w:p>
    <w:p w14:paraId="66AA63B7" w14:textId="77777777" w:rsidR="006F71AD" w:rsidRPr="006F71AD" w:rsidDel="00A005A8" w:rsidRDefault="006F71AD" w:rsidP="006F71AD">
      <w:pPr>
        <w:rPr>
          <w:rFonts w:cs="Arial"/>
          <w:lang w:eastAsia="en-AU"/>
        </w:rPr>
      </w:pPr>
    </w:p>
    <w:sectPr w:rsidR="006F71AD" w:rsidRPr="006F71AD" w:rsidDel="00A005A8" w:rsidSect="00B54B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7E36" w14:textId="77777777" w:rsidR="00253B5D" w:rsidRDefault="00253B5D" w:rsidP="00DB64EA">
      <w:pPr>
        <w:spacing w:after="0" w:line="240" w:lineRule="auto"/>
      </w:pPr>
      <w:r>
        <w:separator/>
      </w:r>
    </w:p>
  </w:endnote>
  <w:endnote w:type="continuationSeparator" w:id="0">
    <w:p w14:paraId="7636E5C8" w14:textId="77777777" w:rsidR="00253B5D" w:rsidRDefault="00253B5D" w:rsidP="00DB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5B07" w14:textId="18ECD552" w:rsidR="00DB64EA" w:rsidRPr="00B4325D" w:rsidRDefault="00B4325D" w:rsidP="00B4325D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sz w:val="18"/>
        <w:szCs w:val="18"/>
      </w:rPr>
    </w:pPr>
    <w:r w:rsidRPr="00DB64EA">
      <w:rPr>
        <w:color w:val="928B81"/>
        <w:sz w:val="18"/>
        <w:szCs w:val="18"/>
      </w:rPr>
      <w:t xml:space="preserve">Role Description: </w:t>
    </w:r>
    <w:r w:rsidR="000302EC" w:rsidRPr="00A97568">
      <w:rPr>
        <w:sz w:val="18"/>
        <w:szCs w:val="18"/>
      </w:rPr>
      <w:t xml:space="preserve">Ticketing and Events </w:t>
    </w:r>
    <w:r w:rsidR="00A97568" w:rsidRPr="00A97568">
      <w:rPr>
        <w:sz w:val="18"/>
        <w:szCs w:val="18"/>
      </w:rPr>
      <w:t>Assistant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848" w14:textId="101821DD" w:rsidR="00DB64EA" w:rsidRPr="00DB64EA" w:rsidRDefault="00DB64EA" w:rsidP="00DB64EA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color w:val="928B81"/>
        <w:sz w:val="18"/>
        <w:szCs w:val="18"/>
      </w:rPr>
    </w:pPr>
    <w:r w:rsidRPr="00DB64EA">
      <w:rPr>
        <w:color w:val="928B81"/>
        <w:sz w:val="18"/>
        <w:szCs w:val="18"/>
      </w:rPr>
      <w:t xml:space="preserve">Role Description: </w:t>
    </w:r>
    <w:r w:rsidRPr="00DB64EA">
      <w:rPr>
        <w:color w:val="928B81"/>
        <w:sz w:val="18"/>
        <w:szCs w:val="18"/>
      </w:rPr>
      <w:fldChar w:fldCharType="begin"/>
    </w:r>
    <w:r w:rsidRPr="00DB64EA">
      <w:rPr>
        <w:color w:val="928B81"/>
        <w:sz w:val="18"/>
        <w:szCs w:val="18"/>
      </w:rPr>
      <w:instrText xml:space="preserve"> FILENAME   \* MERGEFORMAT </w:instrText>
    </w:r>
    <w:r w:rsidRPr="00DB64EA">
      <w:rPr>
        <w:color w:val="928B81"/>
        <w:sz w:val="18"/>
        <w:szCs w:val="18"/>
      </w:rPr>
      <w:fldChar w:fldCharType="separate"/>
    </w:r>
    <w:r w:rsidRPr="00DB64EA">
      <w:rPr>
        <w:color w:val="928B81"/>
        <w:sz w:val="18"/>
        <w:szCs w:val="18"/>
      </w:rPr>
      <w:fldChar w:fldCharType="end"/>
    </w:r>
    <w:r w:rsidR="000302EC">
      <w:rPr>
        <w:color w:val="928B81"/>
        <w:sz w:val="18"/>
        <w:szCs w:val="18"/>
      </w:rPr>
      <w:t xml:space="preserve"> </w:t>
    </w:r>
    <w:r w:rsidR="000302EC" w:rsidRPr="00A97568">
      <w:rPr>
        <w:sz w:val="18"/>
        <w:szCs w:val="18"/>
      </w:rPr>
      <w:t xml:space="preserve">Ticketing and Assistant Events </w:t>
    </w:r>
    <w:r w:rsidR="00A97568" w:rsidRPr="00A97568">
      <w:rPr>
        <w:sz w:val="18"/>
        <w:szCs w:val="18"/>
      </w:rPr>
      <w:t>Assistant</w:t>
    </w:r>
    <w:r w:rsidRPr="00A97568">
      <w:rPr>
        <w:sz w:val="18"/>
        <w:szCs w:val="18"/>
      </w:rPr>
      <w:tab/>
    </w:r>
    <w:r>
      <w:rPr>
        <w:color w:val="928B81"/>
        <w:sz w:val="18"/>
        <w:szCs w:val="18"/>
      </w:rPr>
      <w:fldChar w:fldCharType="begin"/>
    </w:r>
    <w:r>
      <w:rPr>
        <w:color w:val="928B81"/>
        <w:sz w:val="18"/>
        <w:szCs w:val="18"/>
      </w:rPr>
      <w:instrText xml:space="preserve"> PAGE  \* Arabic  \* MERGEFORMAT </w:instrText>
    </w:r>
    <w:r>
      <w:rPr>
        <w:color w:val="928B81"/>
        <w:sz w:val="18"/>
        <w:szCs w:val="18"/>
      </w:rPr>
      <w:fldChar w:fldCharType="separate"/>
    </w:r>
    <w:r w:rsidR="009B7905">
      <w:rPr>
        <w:noProof/>
        <w:color w:val="928B81"/>
        <w:sz w:val="18"/>
        <w:szCs w:val="18"/>
      </w:rPr>
      <w:t>1</w:t>
    </w:r>
    <w:r>
      <w:rPr>
        <w:color w:val="928B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8349" w14:textId="77777777" w:rsidR="00253B5D" w:rsidRDefault="00253B5D" w:rsidP="00DB64EA">
      <w:pPr>
        <w:spacing w:after="0" w:line="240" w:lineRule="auto"/>
      </w:pPr>
      <w:r>
        <w:separator/>
      </w:r>
    </w:p>
  </w:footnote>
  <w:footnote w:type="continuationSeparator" w:id="0">
    <w:p w14:paraId="6701C232" w14:textId="77777777" w:rsidR="00253B5D" w:rsidRDefault="00253B5D" w:rsidP="00DB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550" w14:textId="77777777" w:rsidR="00DB64EA" w:rsidRDefault="00DB64EA">
    <w:pPr>
      <w:pStyle w:val="Header"/>
    </w:pPr>
  </w:p>
  <w:p w14:paraId="6D3DF612" w14:textId="77777777" w:rsidR="00DB64EA" w:rsidRDefault="00DB6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4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89"/>
      <w:gridCol w:w="12390"/>
    </w:tblGrid>
    <w:tr w:rsidR="00ED4069" w:rsidRPr="001E49B2" w14:paraId="129056F1" w14:textId="77777777" w:rsidTr="00451B7C">
      <w:trPr>
        <w:trHeight w:val="1337"/>
      </w:trPr>
      <w:tc>
        <w:tcPr>
          <w:tcW w:w="7038" w:type="dxa"/>
        </w:tcPr>
        <w:p w14:paraId="17676640" w14:textId="0A039655" w:rsidR="00ED4069" w:rsidRPr="001F5C0E" w:rsidRDefault="00ED4069" w:rsidP="00ED4069">
          <w:pPr>
            <w:pStyle w:val="Heading1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right" w:pos="10348"/>
            </w:tabs>
            <w:outlineLvl w:val="0"/>
            <w:rPr>
              <w:sz w:val="40"/>
              <w:szCs w:val="4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4EA98207" wp14:editId="1593B42D">
                <wp:simplePos x="0" y="0"/>
                <wp:positionH relativeFrom="column">
                  <wp:posOffset>4956810</wp:posOffset>
                </wp:positionH>
                <wp:positionV relativeFrom="paragraph">
                  <wp:posOffset>6350</wp:posOffset>
                </wp:positionV>
                <wp:extent cx="16954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57" y="20057"/>
                    <wp:lineTo x="21357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F5C0E">
            <w:rPr>
              <w:sz w:val="40"/>
              <w:szCs w:val="40"/>
            </w:rPr>
            <w:t>Role Description</w:t>
          </w:r>
          <w:bookmarkStart w:id="6" w:name="_Hlk114125614"/>
          <w:bookmarkEnd w:id="6"/>
        </w:p>
        <w:p w14:paraId="74CA647D" w14:textId="7D27F924" w:rsidR="00ED4069" w:rsidRPr="001F5C0E" w:rsidRDefault="00ED4069" w:rsidP="00ED4069">
          <w:pPr>
            <w:pStyle w:val="Heading1"/>
            <w:tabs>
              <w:tab w:val="right" w:pos="10206"/>
            </w:tabs>
            <w:outlineLvl w:val="0"/>
            <w:rPr>
              <w:sz w:val="40"/>
              <w:szCs w:val="40"/>
            </w:rPr>
          </w:pPr>
          <w:r>
            <w:rPr>
              <w:noProof/>
              <w:lang w:eastAsia="en-AU"/>
            </w:rPr>
            <w:drawing>
              <wp:anchor distT="0" distB="91440" distL="114300" distR="114300" simplePos="0" relativeHeight="251660288" behindDoc="0" locked="0" layoutInCell="1" allowOverlap="1" wp14:anchorId="4664135F" wp14:editId="67D2AAE1">
                <wp:simplePos x="0" y="0"/>
                <wp:positionH relativeFrom="margin">
                  <wp:posOffset>5118735</wp:posOffset>
                </wp:positionH>
                <wp:positionV relativeFrom="margin">
                  <wp:posOffset>397510</wp:posOffset>
                </wp:positionV>
                <wp:extent cx="1562100" cy="485775"/>
                <wp:effectExtent l="0" t="0" r="6350" b="0"/>
                <wp:wrapSquare wrapText="bothSides"/>
                <wp:docPr id="349" name="Picture 1" descr="DPE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SW Government - Customer Service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40"/>
              <w:szCs w:val="40"/>
            </w:rPr>
            <w:t>Ticketing and Events Assistant</w:t>
          </w:r>
        </w:p>
        <w:p w14:paraId="137DF4F1" w14:textId="77777777" w:rsidR="00ED4069" w:rsidRPr="001E49B2" w:rsidRDefault="00ED4069" w:rsidP="00ED4069">
          <w:pPr>
            <w:pStyle w:val="TitleSub"/>
            <w:spacing w:after="0"/>
            <w:rPr>
              <w:rFonts w:ascii="Arial" w:hAnsi="Arial" w:cs="Arial"/>
              <w:b/>
            </w:rPr>
          </w:pPr>
          <w:r w:rsidRPr="006C1907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7038" w:type="dxa"/>
        </w:tcPr>
        <w:p w14:paraId="622A79D2" w14:textId="3AC3F10F" w:rsidR="00ED4069" w:rsidRPr="001E49B2" w:rsidRDefault="00ED4069" w:rsidP="00ED4069">
          <w:pPr>
            <w:pStyle w:val="TitleSub"/>
            <w:spacing w:after="0"/>
            <w:rPr>
              <w:rFonts w:ascii="Arial" w:hAnsi="Arial" w:cs="Arial"/>
              <w:b/>
            </w:rPr>
          </w:pPr>
        </w:p>
      </w:tc>
    </w:tr>
  </w:tbl>
  <w:p w14:paraId="5E5E43F7" w14:textId="77777777" w:rsidR="001F5A01" w:rsidRPr="001F5A01" w:rsidRDefault="001F5A01" w:rsidP="001F5A01">
    <w:pPr>
      <w:pStyle w:val="TitleSub"/>
      <w:spacing w:after="0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C1329"/>
    <w:multiLevelType w:val="hybridMultilevel"/>
    <w:tmpl w:val="6F988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008"/>
    <w:multiLevelType w:val="hybridMultilevel"/>
    <w:tmpl w:val="C97A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A13"/>
    <w:multiLevelType w:val="hybridMultilevel"/>
    <w:tmpl w:val="F578B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4C6"/>
    <w:multiLevelType w:val="hybridMultilevel"/>
    <w:tmpl w:val="E8FA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7DB"/>
    <w:multiLevelType w:val="hybridMultilevel"/>
    <w:tmpl w:val="B136E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561"/>
    <w:multiLevelType w:val="hybridMultilevel"/>
    <w:tmpl w:val="0A7A3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C3E"/>
    <w:multiLevelType w:val="hybridMultilevel"/>
    <w:tmpl w:val="06A65882"/>
    <w:lvl w:ilvl="0" w:tplc="3994527C">
      <w:start w:val="1"/>
      <w:numFmt w:val="bullet"/>
      <w:pStyle w:val="OSRlevel1bullet10p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1105C"/>
    <w:multiLevelType w:val="hybridMultilevel"/>
    <w:tmpl w:val="A648B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AA7"/>
    <w:multiLevelType w:val="hybridMultilevel"/>
    <w:tmpl w:val="6C42A7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5750"/>
    <w:multiLevelType w:val="hybridMultilevel"/>
    <w:tmpl w:val="B6B0E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003F"/>
    <w:multiLevelType w:val="hybridMultilevel"/>
    <w:tmpl w:val="3ABA7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A4A"/>
    <w:multiLevelType w:val="hybridMultilevel"/>
    <w:tmpl w:val="6D6AD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2795"/>
    <w:multiLevelType w:val="hybridMultilevel"/>
    <w:tmpl w:val="682C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A55"/>
    <w:multiLevelType w:val="hybridMultilevel"/>
    <w:tmpl w:val="71369A72"/>
    <w:lvl w:ilvl="0" w:tplc="94AE43A4">
      <w:numFmt w:val="bullet"/>
      <w:lvlText w:val=""/>
      <w:lvlJc w:val="left"/>
      <w:pPr>
        <w:ind w:left="900" w:hanging="361"/>
      </w:pPr>
      <w:rPr>
        <w:rFonts w:ascii="Symbol" w:eastAsia="Times New Roman" w:hAnsi="Symbol" w:hint="default"/>
        <w:w w:val="100"/>
        <w:sz w:val="22"/>
      </w:rPr>
    </w:lvl>
    <w:lvl w:ilvl="1" w:tplc="73FC0708">
      <w:numFmt w:val="bullet"/>
      <w:lvlText w:val="•"/>
      <w:lvlJc w:val="left"/>
      <w:pPr>
        <w:ind w:left="1920" w:hanging="361"/>
      </w:pPr>
      <w:rPr>
        <w:rFonts w:hint="default"/>
      </w:rPr>
    </w:lvl>
    <w:lvl w:ilvl="2" w:tplc="FCF0263C">
      <w:numFmt w:val="bullet"/>
      <w:lvlText w:val="•"/>
      <w:lvlJc w:val="left"/>
      <w:pPr>
        <w:ind w:left="2940" w:hanging="361"/>
      </w:pPr>
      <w:rPr>
        <w:rFonts w:hint="default"/>
      </w:rPr>
    </w:lvl>
    <w:lvl w:ilvl="3" w:tplc="264A6AC0">
      <w:numFmt w:val="bullet"/>
      <w:lvlText w:val="•"/>
      <w:lvlJc w:val="left"/>
      <w:pPr>
        <w:ind w:left="3960" w:hanging="361"/>
      </w:pPr>
      <w:rPr>
        <w:rFonts w:hint="default"/>
      </w:rPr>
    </w:lvl>
    <w:lvl w:ilvl="4" w:tplc="C188054C">
      <w:numFmt w:val="bullet"/>
      <w:lvlText w:val="•"/>
      <w:lvlJc w:val="left"/>
      <w:pPr>
        <w:ind w:left="4980" w:hanging="361"/>
      </w:pPr>
      <w:rPr>
        <w:rFonts w:hint="default"/>
      </w:rPr>
    </w:lvl>
    <w:lvl w:ilvl="5" w:tplc="B74454BA"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F9860ED4">
      <w:numFmt w:val="bullet"/>
      <w:lvlText w:val="•"/>
      <w:lvlJc w:val="left"/>
      <w:pPr>
        <w:ind w:left="7020" w:hanging="361"/>
      </w:pPr>
      <w:rPr>
        <w:rFonts w:hint="default"/>
      </w:rPr>
    </w:lvl>
    <w:lvl w:ilvl="7" w:tplc="223CA950">
      <w:numFmt w:val="bullet"/>
      <w:lvlText w:val="•"/>
      <w:lvlJc w:val="left"/>
      <w:pPr>
        <w:ind w:left="8040" w:hanging="361"/>
      </w:pPr>
      <w:rPr>
        <w:rFonts w:hint="default"/>
      </w:rPr>
    </w:lvl>
    <w:lvl w:ilvl="8" w:tplc="122C6964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15" w15:restartNumberingAfterBreak="0">
    <w:nsid w:val="78540192"/>
    <w:multiLevelType w:val="hybridMultilevel"/>
    <w:tmpl w:val="CEE23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52D8"/>
    <w:multiLevelType w:val="hybridMultilevel"/>
    <w:tmpl w:val="01300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EA"/>
    <w:rsid w:val="000302EC"/>
    <w:rsid w:val="0004140E"/>
    <w:rsid w:val="00137E4A"/>
    <w:rsid w:val="00141DA8"/>
    <w:rsid w:val="001A04B8"/>
    <w:rsid w:val="001C65A0"/>
    <w:rsid w:val="001F5A01"/>
    <w:rsid w:val="00253B5D"/>
    <w:rsid w:val="002638C5"/>
    <w:rsid w:val="0032168C"/>
    <w:rsid w:val="003F1226"/>
    <w:rsid w:val="003F68D8"/>
    <w:rsid w:val="00465F2F"/>
    <w:rsid w:val="00523C6A"/>
    <w:rsid w:val="00537287"/>
    <w:rsid w:val="00604D40"/>
    <w:rsid w:val="00610E9A"/>
    <w:rsid w:val="006427B8"/>
    <w:rsid w:val="00646DA9"/>
    <w:rsid w:val="006F71AD"/>
    <w:rsid w:val="008363D4"/>
    <w:rsid w:val="00920FE5"/>
    <w:rsid w:val="009629A0"/>
    <w:rsid w:val="009B7905"/>
    <w:rsid w:val="009C0F49"/>
    <w:rsid w:val="00A005A8"/>
    <w:rsid w:val="00A240A1"/>
    <w:rsid w:val="00A40B61"/>
    <w:rsid w:val="00A97568"/>
    <w:rsid w:val="00AC1F87"/>
    <w:rsid w:val="00AC2740"/>
    <w:rsid w:val="00AF771E"/>
    <w:rsid w:val="00B4325D"/>
    <w:rsid w:val="00B54B21"/>
    <w:rsid w:val="00B92E23"/>
    <w:rsid w:val="00BA20FD"/>
    <w:rsid w:val="00C13834"/>
    <w:rsid w:val="00C53C23"/>
    <w:rsid w:val="00CE3C0F"/>
    <w:rsid w:val="00CF73B4"/>
    <w:rsid w:val="00D01C7C"/>
    <w:rsid w:val="00D109B5"/>
    <w:rsid w:val="00DB64EA"/>
    <w:rsid w:val="00DD6228"/>
    <w:rsid w:val="00E1685D"/>
    <w:rsid w:val="00E2426C"/>
    <w:rsid w:val="00E714A6"/>
    <w:rsid w:val="00ED4069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532D"/>
  <w15:docId w15:val="{6EFFF79E-D0C7-4AC0-A073-A3512A0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4EA"/>
    <w:rPr>
      <w:rFonts w:ascii="Arial" w:eastAsiaTheme="minorEastAsia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64EA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B6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64EA"/>
    <w:rPr>
      <w:rFonts w:ascii="Arial" w:hAnsi="Arial" w:cs="Arial"/>
      <w:b/>
      <w:bCs/>
      <w:kern w:val="32"/>
      <w:sz w:val="26"/>
      <w:szCs w:val="32"/>
    </w:rPr>
  </w:style>
  <w:style w:type="table" w:customStyle="1" w:styleId="PSCGreen">
    <w:name w:val="PSC_Green"/>
    <w:basedOn w:val="TableNormal"/>
    <w:uiPriority w:val="99"/>
    <w:rsid w:val="00DB64EA"/>
    <w:pPr>
      <w:spacing w:after="0" w:line="280" w:lineRule="atLeast"/>
    </w:pPr>
    <w:rPr>
      <w:rFonts w:ascii="Arial" w:hAnsi="Arial" w:cs="Times New Roman"/>
      <w:color w:val="FFFFFF" w:themeColor="background1"/>
      <w:sz w:val="20"/>
      <w:szCs w:val="20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DB64EA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DB64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B64EA"/>
    <w:rPr>
      <w:rFonts w:ascii="Arial" w:eastAsiaTheme="minorEastAsia" w:hAnsi="Arial"/>
      <w:lang w:val="en-US"/>
    </w:rPr>
  </w:style>
  <w:style w:type="table" w:customStyle="1" w:styleId="PSCPurple">
    <w:name w:val="PSC_Purple"/>
    <w:basedOn w:val="TableNormal"/>
    <w:uiPriority w:val="99"/>
    <w:rsid w:val="00DB64EA"/>
    <w:pPr>
      <w:spacing w:after="0" w:line="240" w:lineRule="auto"/>
    </w:pPr>
    <w:rPr>
      <w:rFonts w:ascii="Arial" w:hAnsi="Arial" w:cs="Times New Roman"/>
      <w:sz w:val="20"/>
      <w:szCs w:val="20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DB64EA"/>
    <w:rPr>
      <w:color w:val="auto"/>
    </w:rPr>
  </w:style>
  <w:style w:type="paragraph" w:customStyle="1" w:styleId="TableTextWhite0">
    <w:name w:val="Table_Text_White"/>
    <w:basedOn w:val="Normal"/>
    <w:qFormat/>
    <w:rsid w:val="00DB64EA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DB6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B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EA"/>
    <w:rPr>
      <w:rFonts w:ascii="Tahoma" w:eastAsiaTheme="minorEastAsia" w:hAnsi="Tahoma" w:cs="Tahoma"/>
      <w:sz w:val="16"/>
      <w:szCs w:val="16"/>
      <w:lang w:val="en-US"/>
    </w:rPr>
  </w:style>
  <w:style w:type="paragraph" w:styleId="ListBullet">
    <w:name w:val="List Bullet"/>
    <w:basedOn w:val="Normal"/>
    <w:uiPriority w:val="2"/>
    <w:qFormat/>
    <w:rsid w:val="00DB64EA"/>
    <w:pPr>
      <w:numPr>
        <w:numId w:val="6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DB64EA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DB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EA"/>
    <w:rPr>
      <w:rFonts w:ascii="Arial" w:eastAsiaTheme="minorEastAsia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EA"/>
    <w:rPr>
      <w:rFonts w:ascii="Arial" w:eastAsiaTheme="minorEastAsia" w:hAnsi="Arial"/>
      <w:lang w:val="en-US"/>
    </w:rPr>
  </w:style>
  <w:style w:type="paragraph" w:customStyle="1" w:styleId="TitleSub">
    <w:name w:val="Title Sub"/>
    <w:basedOn w:val="Normal"/>
    <w:qFormat/>
    <w:rsid w:val="00DB64EA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paragraph" w:customStyle="1" w:styleId="OSRlevel1bullet10pt">
    <w:name w:val="OSR level 1 bullet 10 pt"/>
    <w:basedOn w:val="Normal"/>
    <w:rsid w:val="00BA20F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0F"/>
    <w:rPr>
      <w:rFonts w:ascii="Arial" w:eastAsiaTheme="minorEastAsia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0F"/>
    <w:rPr>
      <w:rFonts w:ascii="Arial" w:eastAsiaTheme="minorEastAsia" w:hAnsi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4069"/>
    <w:pPr>
      <w:spacing w:after="0" w:line="240" w:lineRule="auto"/>
    </w:pPr>
    <w:rPr>
      <w:rFonts w:ascii="Arial" w:eastAsiaTheme="minorEastAsia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2667002157381479696gmail-m-3941970929850341227gmail-m-7359575070431525768gmail-il">
    <w:name w:val="m_-2667002157381479696gmail-m-3941970929850341227gmail-m-7359575070431525768gmail-il"/>
    <w:basedOn w:val="DefaultParagraphFont"/>
    <w:rsid w:val="00A97568"/>
  </w:style>
  <w:style w:type="paragraph" w:styleId="PlainText">
    <w:name w:val="Plain Text"/>
    <w:basedOn w:val="Normal"/>
    <w:link w:val="PlainTextChar"/>
    <w:uiPriority w:val="99"/>
    <w:rsid w:val="006F71AD"/>
    <w:pPr>
      <w:spacing w:after="80" w:line="240" w:lineRule="auto"/>
    </w:pPr>
    <w:rPr>
      <w:rFonts w:eastAsiaTheme="minorHAnsi" w:cs="Times New Roman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F71AD"/>
    <w:rPr>
      <w:rFonts w:ascii="Arial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sc.nsw.gov.au/workforce-management/capability-framework/the-capability-framewor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SOPA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Pas</cp:lastModifiedBy>
  <cp:revision>2</cp:revision>
  <dcterms:created xsi:type="dcterms:W3CDTF">2023-06-13T04:53:00Z</dcterms:created>
  <dcterms:modified xsi:type="dcterms:W3CDTF">2023-06-13T04:53:00Z</dcterms:modified>
</cp:coreProperties>
</file>